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7B77A" w14:textId="77777777" w:rsidR="006F1809" w:rsidRPr="006F1809" w:rsidRDefault="006F1809" w:rsidP="006F1809">
      <w:pPr>
        <w:spacing w:before="240" w:after="120" w:line="240" w:lineRule="auto"/>
        <w:rPr>
          <w:rFonts w:ascii="Times New Roman" w:eastAsia="Times New Roman" w:hAnsi="Times New Roman"/>
          <w:noProof w:val="0"/>
          <w:color w:val="auto"/>
          <w:sz w:val="21"/>
          <w:szCs w:val="22"/>
          <w:lang w:eastAsia="en-US"/>
        </w:rPr>
      </w:pPr>
      <w:r w:rsidRPr="006F1809">
        <w:rPr>
          <w:rFonts w:ascii="Times New Roman" w:eastAsia="Times New Roman" w:hAnsi="Times New Roman"/>
          <w:b/>
          <w:noProof w:val="0"/>
          <w:color w:val="auto"/>
          <w:sz w:val="24"/>
          <w:szCs w:val="22"/>
          <w:lang w:eastAsia="en-US"/>
        </w:rPr>
        <w:t>Supplementary Materials</w:t>
      </w:r>
    </w:p>
    <w:p w14:paraId="6F869B0F" w14:textId="77777777" w:rsidR="006F1809" w:rsidRPr="006F1809" w:rsidRDefault="006F1809" w:rsidP="006F1809">
      <w:pPr>
        <w:spacing w:before="160" w:after="60" w:line="240" w:lineRule="auto"/>
        <w:rPr>
          <w:rFonts w:ascii="Times New Roman" w:eastAsia="Times New Roman" w:hAnsi="Times New Roman"/>
          <w:noProof w:val="0"/>
          <w:color w:val="auto"/>
          <w:sz w:val="21"/>
          <w:szCs w:val="22"/>
          <w:lang w:eastAsia="en-US"/>
        </w:rPr>
      </w:pPr>
      <w:r w:rsidRPr="006F1809">
        <w:rPr>
          <w:rFonts w:ascii="Times New Roman" w:eastAsia="Times New Roman" w:hAnsi="Times New Roman"/>
          <w:b/>
          <w:noProof w:val="0"/>
          <w:color w:val="auto"/>
          <w:sz w:val="18"/>
          <w:szCs w:val="22"/>
          <w:lang w:eastAsia="en-US"/>
        </w:rPr>
        <w:t>Supplementary Table 1. Distribution of missing data and reasons for exclusion during screening</w:t>
      </w:r>
    </w:p>
    <w:tbl>
      <w:tblPr>
        <w:tblStyle w:val="11"/>
        <w:tblW w:w="4999" w:type="pct"/>
        <w:jc w:val="center"/>
        <w:tblLook w:val="04A0" w:firstRow="1" w:lastRow="0" w:firstColumn="1" w:lastColumn="0" w:noHBand="0" w:noVBand="1"/>
      </w:tblPr>
      <w:tblGrid>
        <w:gridCol w:w="3817"/>
        <w:gridCol w:w="1612"/>
        <w:gridCol w:w="4772"/>
      </w:tblGrid>
      <w:tr w:rsidR="006F1809" w:rsidRPr="006F1809" w14:paraId="0B0B61A0" w14:textId="77777777" w:rsidTr="00540031">
        <w:trPr>
          <w:tblHeader/>
          <w:jc w:val="center"/>
        </w:trPr>
        <w:tc>
          <w:tcPr>
            <w:tcW w:w="1870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  <w:tl2br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9F78331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b/>
                <w:noProof w:val="0"/>
                <w:color w:val="auto"/>
                <w:sz w:val="16"/>
                <w:szCs w:val="22"/>
                <w:lang w:eastAsia="en-US"/>
              </w:rPr>
              <w:t>Variable/reason excluded at screening stage</w:t>
            </w:r>
          </w:p>
        </w:tc>
        <w:tc>
          <w:tcPr>
            <w:tcW w:w="790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770A247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b/>
                <w:noProof w:val="0"/>
                <w:color w:val="auto"/>
                <w:sz w:val="16"/>
                <w:szCs w:val="22"/>
                <w:lang w:eastAsia="en-US"/>
              </w:rPr>
              <w:t>No. of cases excluded</w:t>
            </w:r>
          </w:p>
        </w:tc>
        <w:tc>
          <w:tcPr>
            <w:tcW w:w="2338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70E4F77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b/>
                <w:noProof w:val="0"/>
                <w:color w:val="auto"/>
                <w:sz w:val="16"/>
                <w:szCs w:val="22"/>
                <w:lang w:eastAsia="en-US"/>
              </w:rPr>
              <w:t>Description</w:t>
            </w:r>
          </w:p>
        </w:tc>
      </w:tr>
      <w:tr w:rsidR="006F1809" w:rsidRPr="006F1809" w14:paraId="0C8F912F" w14:textId="77777777" w:rsidTr="00540031">
        <w:trPr>
          <w:jc w:val="center"/>
        </w:trPr>
        <w:tc>
          <w:tcPr>
            <w:tcW w:w="187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EACDEFC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No ipsilateral MCA atherosclerotic plaque or non-MCA culprit vessel</w:t>
            </w:r>
          </w:p>
        </w:tc>
        <w:tc>
          <w:tcPr>
            <w:tcW w:w="79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8F35BA9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49</w:t>
            </w:r>
          </w:p>
        </w:tc>
        <w:tc>
          <w:tcPr>
            <w:tcW w:w="233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B1054BD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Excluded before HR-MRI eligibility assessment</w:t>
            </w:r>
          </w:p>
        </w:tc>
      </w:tr>
      <w:tr w:rsidR="006F1809" w:rsidRPr="006F1809" w14:paraId="2F0A1ED4" w14:textId="77777777" w:rsidTr="00540031">
        <w:trPr>
          <w:jc w:val="center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7AC1663A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HR-MRI not completed within 7 d after onset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87BBB13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25</w:t>
            </w:r>
          </w:p>
        </w:tc>
        <w:tc>
          <w:tcPr>
            <w:tcW w:w="23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DC4B96B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Excluded before HR-MRI eligibility assessment</w:t>
            </w:r>
          </w:p>
        </w:tc>
      </w:tr>
      <w:tr w:rsidR="006F1809" w:rsidRPr="006F1809" w14:paraId="752470BE" w14:textId="77777777" w:rsidTr="00540031">
        <w:trPr>
          <w:jc w:val="center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324D86A7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Non-atherosclerotic etiology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3339420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21</w:t>
            </w:r>
          </w:p>
        </w:tc>
        <w:tc>
          <w:tcPr>
            <w:tcW w:w="23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CC67933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proofErr w:type="spellStart"/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Cardioembolism</w:t>
            </w:r>
            <w:proofErr w:type="spellEnd"/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, dissection, vasculitis, etc.</w:t>
            </w:r>
          </w:p>
        </w:tc>
      </w:tr>
      <w:tr w:rsidR="006F1809" w:rsidRPr="006F1809" w14:paraId="5E8A486A" w14:textId="77777777" w:rsidTr="00540031">
        <w:trPr>
          <w:jc w:val="center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206135A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Poor image quality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E210D95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14</w:t>
            </w:r>
          </w:p>
        </w:tc>
        <w:tc>
          <w:tcPr>
            <w:tcW w:w="23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512D536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Motion artifacts, flow artifacts, or unclear boundaries</w:t>
            </w:r>
          </w:p>
        </w:tc>
      </w:tr>
      <w:tr w:rsidR="006F1809" w:rsidRPr="006F1809" w14:paraId="7F60D7A4" w14:textId="77777777" w:rsidTr="00540031">
        <w:trPr>
          <w:jc w:val="center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7A08F581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Bilateral severe MCA stenosis or bilateral acute infarction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4BF3E63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8</w:t>
            </w:r>
          </w:p>
        </w:tc>
        <w:tc>
          <w:tcPr>
            <w:tcW w:w="23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77C944C9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A unilateral culprit plaque could not be reliably determined</w:t>
            </w:r>
          </w:p>
        </w:tc>
      </w:tr>
      <w:tr w:rsidR="006F1809" w:rsidRPr="006F1809" w14:paraId="6AED5C73" w14:textId="77777777" w:rsidTr="00540031">
        <w:trPr>
          <w:jc w:val="center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13D9BE6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Severe cardiac, hepatic, or renal dysfunction or malignant tumor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7392A0FE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6</w:t>
            </w:r>
          </w:p>
        </w:tc>
        <w:tc>
          <w:tcPr>
            <w:tcW w:w="23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B371354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Met exclusion criteria</w:t>
            </w:r>
          </w:p>
        </w:tc>
      </w:tr>
      <w:tr w:rsidR="006F1809" w:rsidRPr="006F1809" w14:paraId="2A6445DE" w14:textId="77777777" w:rsidTr="00540031">
        <w:trPr>
          <w:jc w:val="center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F0086F0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Contrast contraindication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245730A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5</w:t>
            </w:r>
          </w:p>
        </w:tc>
        <w:tc>
          <w:tcPr>
            <w:tcW w:w="23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7D5B15E7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Contrast-enhanced evaluation could not be completed</w:t>
            </w:r>
          </w:p>
        </w:tc>
      </w:tr>
      <w:tr w:rsidR="006F1809" w:rsidRPr="006F1809" w14:paraId="44C9576B" w14:textId="77777777" w:rsidTr="00540031">
        <w:trPr>
          <w:jc w:val="center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3D90E5E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Lack of a qualified reference vessel segment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909193F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7</w:t>
            </w:r>
          </w:p>
        </w:tc>
        <w:tc>
          <w:tcPr>
            <w:tcW w:w="23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D1A4B59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Proximal or distal reference segment did not meet criteria</w:t>
            </w:r>
          </w:p>
        </w:tc>
      </w:tr>
      <w:tr w:rsidR="006F1809" w:rsidRPr="006F1809" w14:paraId="3AD815A6" w14:textId="77777777" w:rsidTr="00540031">
        <w:trPr>
          <w:jc w:val="center"/>
        </w:trPr>
        <w:tc>
          <w:tcPr>
            <w:tcW w:w="187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7B2B85A6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Missing key data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FB33314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3</w:t>
            </w:r>
          </w:p>
        </w:tc>
        <w:tc>
          <w:tcPr>
            <w:tcW w:w="23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8BB772F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One case missing glycated hemoglobin, one case missing high-sensitivity C-reactive protein, and one case with unverifiable smoking history/previous stroke or TIA information</w:t>
            </w:r>
          </w:p>
        </w:tc>
      </w:tr>
      <w:tr w:rsidR="006F1809" w:rsidRPr="006F1809" w14:paraId="75CA4142" w14:textId="77777777" w:rsidTr="00540031">
        <w:trPr>
          <w:jc w:val="center"/>
        </w:trPr>
        <w:tc>
          <w:tcPr>
            <w:tcW w:w="1870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EC35767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Final complete-case analysis included</w:t>
            </w:r>
          </w:p>
        </w:tc>
        <w:tc>
          <w:tcPr>
            <w:tcW w:w="790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76FCB294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283</w:t>
            </w:r>
          </w:p>
        </w:tc>
        <w:tc>
          <w:tcPr>
            <w:tcW w:w="2338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75BBF64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No missing data in the main modeling variables</w:t>
            </w:r>
          </w:p>
        </w:tc>
      </w:tr>
    </w:tbl>
    <w:p w14:paraId="6B366A53" w14:textId="77777777" w:rsidR="006F1809" w:rsidRPr="006F1809" w:rsidRDefault="006F1809" w:rsidP="006F1809">
      <w:pPr>
        <w:spacing w:before="40" w:after="120" w:line="240" w:lineRule="auto"/>
        <w:rPr>
          <w:rFonts w:ascii="Times New Roman" w:eastAsia="Times New Roman" w:hAnsi="Times New Roman"/>
          <w:noProof w:val="0"/>
          <w:color w:val="auto"/>
          <w:sz w:val="21"/>
          <w:szCs w:val="22"/>
          <w:lang w:eastAsia="en-US"/>
        </w:rPr>
      </w:pPr>
      <w:r w:rsidRPr="006F1809">
        <w:rPr>
          <w:rFonts w:ascii="Times New Roman" w:eastAsia="Times New Roman" w:hAnsi="Times New Roman"/>
          <w:noProof w:val="0"/>
          <w:color w:val="auto"/>
          <w:sz w:val="16"/>
          <w:szCs w:val="22"/>
          <w:lang w:eastAsia="en-US"/>
        </w:rPr>
        <w:t xml:space="preserve">Note: MCA, middle cerebral artery; HR-MRI, high-resolution magnetic resonance imaging; HbA1c, glycated hemoglobin; </w:t>
      </w:r>
      <w:proofErr w:type="spellStart"/>
      <w:r w:rsidRPr="006F1809">
        <w:rPr>
          <w:rFonts w:ascii="Times New Roman" w:eastAsia="Times New Roman" w:hAnsi="Times New Roman"/>
          <w:noProof w:val="0"/>
          <w:color w:val="auto"/>
          <w:sz w:val="16"/>
          <w:szCs w:val="22"/>
          <w:lang w:eastAsia="en-US"/>
        </w:rPr>
        <w:t>hsCRP</w:t>
      </w:r>
      <w:proofErr w:type="spellEnd"/>
      <w:r w:rsidRPr="006F1809">
        <w:rPr>
          <w:rFonts w:ascii="Times New Roman" w:eastAsia="Times New Roman" w:hAnsi="Times New Roman"/>
          <w:noProof w:val="0"/>
          <w:color w:val="auto"/>
          <w:sz w:val="16"/>
          <w:szCs w:val="22"/>
          <w:lang w:eastAsia="en-US"/>
        </w:rPr>
        <w:t>, high-sensitivity C-reactive protein; TIA, transient ischemic attack. The number of exclusions refers to cases excluded for the corresponding reason during the screening stage.</w:t>
      </w:r>
    </w:p>
    <w:p w14:paraId="2199DAFB" w14:textId="77777777" w:rsidR="006F1809" w:rsidRPr="006F1809" w:rsidRDefault="006F1809" w:rsidP="006F1809">
      <w:pPr>
        <w:spacing w:before="160" w:after="60" w:line="240" w:lineRule="auto"/>
        <w:rPr>
          <w:rFonts w:ascii="Times New Roman" w:eastAsia="Times New Roman" w:hAnsi="Times New Roman"/>
          <w:noProof w:val="0"/>
          <w:color w:val="auto"/>
          <w:sz w:val="21"/>
          <w:szCs w:val="22"/>
          <w:lang w:eastAsia="en-US"/>
        </w:rPr>
      </w:pPr>
      <w:r w:rsidRPr="006F1809">
        <w:rPr>
          <w:rFonts w:ascii="Times New Roman" w:eastAsia="Times New Roman" w:hAnsi="Times New Roman"/>
          <w:b/>
          <w:noProof w:val="0"/>
          <w:color w:val="auto"/>
          <w:sz w:val="18"/>
          <w:szCs w:val="22"/>
          <w:lang w:eastAsia="en-US"/>
        </w:rPr>
        <w:t>Supplementary Table 2. Imaging measurement agreement</w:t>
      </w:r>
    </w:p>
    <w:tbl>
      <w:tblPr>
        <w:tblStyle w:val="11"/>
        <w:tblW w:w="4999" w:type="pct"/>
        <w:jc w:val="center"/>
        <w:tblLook w:val="04A0" w:firstRow="1" w:lastRow="0" w:firstColumn="1" w:lastColumn="0" w:noHBand="0" w:noVBand="1"/>
      </w:tblPr>
      <w:tblGrid>
        <w:gridCol w:w="3082"/>
        <w:gridCol w:w="2202"/>
        <w:gridCol w:w="2201"/>
        <w:gridCol w:w="2716"/>
      </w:tblGrid>
      <w:tr w:rsidR="006F1809" w:rsidRPr="006F1809" w14:paraId="25B573D0" w14:textId="77777777" w:rsidTr="00540031">
        <w:trPr>
          <w:tblHeader/>
          <w:jc w:val="center"/>
        </w:trPr>
        <w:tc>
          <w:tcPr>
            <w:tcW w:w="1510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  <w:tl2br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6728728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b/>
                <w:noProof w:val="0"/>
                <w:color w:val="auto"/>
                <w:sz w:val="16"/>
                <w:szCs w:val="22"/>
                <w:lang w:eastAsia="en-US"/>
              </w:rPr>
              <w:t>Measure</w:t>
            </w:r>
          </w:p>
        </w:tc>
        <w:tc>
          <w:tcPr>
            <w:tcW w:w="1079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2B7D74F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b/>
                <w:noProof w:val="0"/>
                <w:color w:val="auto"/>
                <w:sz w:val="16"/>
                <w:szCs w:val="22"/>
                <w:lang w:eastAsia="en-US"/>
              </w:rPr>
              <w:t>Interobserver agreement</w:t>
            </w:r>
          </w:p>
        </w:tc>
        <w:tc>
          <w:tcPr>
            <w:tcW w:w="1079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31CBBA02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proofErr w:type="spellStart"/>
            <w:r w:rsidRPr="006F1809">
              <w:rPr>
                <w:rFonts w:ascii="Times New Roman" w:eastAsia="Times New Roman" w:hAnsi="Times New Roman"/>
                <w:b/>
                <w:noProof w:val="0"/>
                <w:color w:val="auto"/>
                <w:sz w:val="16"/>
                <w:szCs w:val="22"/>
                <w:lang w:eastAsia="en-US"/>
              </w:rPr>
              <w:t>Intraobserver</w:t>
            </w:r>
            <w:proofErr w:type="spellEnd"/>
            <w:r w:rsidRPr="006F1809">
              <w:rPr>
                <w:rFonts w:ascii="Times New Roman" w:eastAsia="Times New Roman" w:hAnsi="Times New Roman"/>
                <w:b/>
                <w:noProof w:val="0"/>
                <w:color w:val="auto"/>
                <w:sz w:val="16"/>
                <w:szCs w:val="22"/>
                <w:lang w:eastAsia="en-US"/>
              </w:rPr>
              <w:t xml:space="preserve"> agreement</w:t>
            </w:r>
          </w:p>
        </w:tc>
        <w:tc>
          <w:tcPr>
            <w:tcW w:w="1331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FAB9D10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b/>
                <w:noProof w:val="0"/>
                <w:color w:val="auto"/>
                <w:sz w:val="16"/>
                <w:szCs w:val="22"/>
                <w:lang w:eastAsia="en-US"/>
              </w:rPr>
              <w:t>Statistical method</w:t>
            </w:r>
          </w:p>
        </w:tc>
      </w:tr>
      <w:tr w:rsidR="006F1809" w:rsidRPr="006F1809" w14:paraId="1CC43D17" w14:textId="77777777" w:rsidTr="00540031">
        <w:trPr>
          <w:jc w:val="center"/>
        </w:trPr>
        <w:tc>
          <w:tcPr>
            <w:tcW w:w="1510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3D28B5EC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Lesion vessel area (VA)</w:t>
            </w:r>
          </w:p>
        </w:tc>
        <w:tc>
          <w:tcPr>
            <w:tcW w:w="1079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DD803E3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0.91 (0.86-0.95)</w:t>
            </w:r>
          </w:p>
        </w:tc>
        <w:tc>
          <w:tcPr>
            <w:tcW w:w="1079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319FD8C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0.94 (0.90-0.97)</w:t>
            </w:r>
          </w:p>
        </w:tc>
        <w:tc>
          <w:tcPr>
            <w:tcW w:w="133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720B4C8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Two-way random-effects ICC</w:t>
            </w:r>
          </w:p>
        </w:tc>
      </w:tr>
      <w:tr w:rsidR="006F1809" w:rsidRPr="006F1809" w14:paraId="4380AC59" w14:textId="77777777" w:rsidTr="00540031">
        <w:trPr>
          <w:jc w:val="center"/>
        </w:trPr>
        <w:tc>
          <w:tcPr>
            <w:tcW w:w="15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F686C6E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Reference vessel area</w:t>
            </w:r>
          </w:p>
        </w:tc>
        <w:tc>
          <w:tcPr>
            <w:tcW w:w="10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4147FF7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0.89 (0.83-0.94)</w:t>
            </w:r>
          </w:p>
        </w:tc>
        <w:tc>
          <w:tcPr>
            <w:tcW w:w="10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317E15ED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0.92 (0.87-0.96)</w:t>
            </w:r>
          </w:p>
        </w:tc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D1BEDDA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Two-way random-effects ICC</w:t>
            </w:r>
          </w:p>
        </w:tc>
      </w:tr>
      <w:tr w:rsidR="006F1809" w:rsidRPr="006F1809" w14:paraId="06E6CA78" w14:textId="77777777" w:rsidTr="00540031">
        <w:trPr>
          <w:jc w:val="center"/>
        </w:trPr>
        <w:tc>
          <w:tcPr>
            <w:tcW w:w="15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3A60983E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Lumen area (LA)</w:t>
            </w:r>
          </w:p>
        </w:tc>
        <w:tc>
          <w:tcPr>
            <w:tcW w:w="10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6BD480F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0.90 (0.84-0.94)</w:t>
            </w:r>
          </w:p>
        </w:tc>
        <w:tc>
          <w:tcPr>
            <w:tcW w:w="10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6823081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0.93 (0.88-0.96)</w:t>
            </w:r>
          </w:p>
        </w:tc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B8BA287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Two-way random-effects ICC</w:t>
            </w:r>
          </w:p>
        </w:tc>
      </w:tr>
      <w:tr w:rsidR="006F1809" w:rsidRPr="006F1809" w14:paraId="260E0FB4" w14:textId="77777777" w:rsidTr="00540031">
        <w:trPr>
          <w:jc w:val="center"/>
        </w:trPr>
        <w:tc>
          <w:tcPr>
            <w:tcW w:w="15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EF224A0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Wall area (WA)</w:t>
            </w:r>
          </w:p>
        </w:tc>
        <w:tc>
          <w:tcPr>
            <w:tcW w:w="10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A73EF76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0.90 (0.85-0.94)</w:t>
            </w:r>
          </w:p>
        </w:tc>
        <w:tc>
          <w:tcPr>
            <w:tcW w:w="10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CB63379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0.93 (0.89-0.96)</w:t>
            </w:r>
          </w:p>
        </w:tc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4E165E0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Two-way random-effects ICC</w:t>
            </w:r>
          </w:p>
        </w:tc>
      </w:tr>
      <w:tr w:rsidR="006F1809" w:rsidRPr="006F1809" w14:paraId="5ED0D28C" w14:textId="77777777" w:rsidTr="00540031">
        <w:trPr>
          <w:jc w:val="center"/>
        </w:trPr>
        <w:tc>
          <w:tcPr>
            <w:tcW w:w="15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47D3141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Plaque burden (PB)</w:t>
            </w:r>
          </w:p>
        </w:tc>
        <w:tc>
          <w:tcPr>
            <w:tcW w:w="10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1D73B51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0.90 (0.85-0.94)</w:t>
            </w:r>
          </w:p>
        </w:tc>
        <w:tc>
          <w:tcPr>
            <w:tcW w:w="10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90B6ED0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0.93 (0.89-0.96)</w:t>
            </w:r>
          </w:p>
        </w:tc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6A6F9FA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Two-way random-effects ICC</w:t>
            </w:r>
          </w:p>
        </w:tc>
      </w:tr>
      <w:tr w:rsidR="006F1809" w:rsidRPr="006F1809" w14:paraId="5C5E025E" w14:textId="77777777" w:rsidTr="00540031">
        <w:trPr>
          <w:jc w:val="center"/>
        </w:trPr>
        <w:tc>
          <w:tcPr>
            <w:tcW w:w="15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C2A1FD3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Positive remodeling index (PRI)</w:t>
            </w:r>
          </w:p>
        </w:tc>
        <w:tc>
          <w:tcPr>
            <w:tcW w:w="10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713A8C2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0.88 (0.82-0.93)</w:t>
            </w:r>
          </w:p>
        </w:tc>
        <w:tc>
          <w:tcPr>
            <w:tcW w:w="10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83E02C7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0.91 (0.86-0.95)</w:t>
            </w:r>
          </w:p>
        </w:tc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DFD6023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Two-way random-effects ICC</w:t>
            </w:r>
          </w:p>
        </w:tc>
      </w:tr>
      <w:tr w:rsidR="006F1809" w:rsidRPr="006F1809" w14:paraId="6DBB9535" w14:textId="77777777" w:rsidTr="00540031">
        <w:trPr>
          <w:jc w:val="center"/>
        </w:trPr>
        <w:tc>
          <w:tcPr>
            <w:tcW w:w="15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D8DC052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Plaque enhancement ratio</w:t>
            </w:r>
          </w:p>
        </w:tc>
        <w:tc>
          <w:tcPr>
            <w:tcW w:w="10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217BA0B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0.87 (0.80-0.92)</w:t>
            </w:r>
          </w:p>
        </w:tc>
        <w:tc>
          <w:tcPr>
            <w:tcW w:w="10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34910F0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0.90 (0.84-0.94)</w:t>
            </w:r>
          </w:p>
        </w:tc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51B91F7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Two-way random-effects ICC</w:t>
            </w:r>
          </w:p>
        </w:tc>
      </w:tr>
      <w:tr w:rsidR="006F1809" w:rsidRPr="006F1809" w14:paraId="17B392E3" w14:textId="77777777" w:rsidTr="00540031">
        <w:trPr>
          <w:jc w:val="center"/>
        </w:trPr>
        <w:tc>
          <w:tcPr>
            <w:tcW w:w="15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0580259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Contrast ratio (CR)</w:t>
            </w:r>
          </w:p>
        </w:tc>
        <w:tc>
          <w:tcPr>
            <w:tcW w:w="10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B5EDFFB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0.86 (0.79-0.92)</w:t>
            </w:r>
          </w:p>
        </w:tc>
        <w:tc>
          <w:tcPr>
            <w:tcW w:w="10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1C37D3E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0.89 (0.83-0.94)</w:t>
            </w:r>
          </w:p>
        </w:tc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3A8A44B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Two-way random-effects ICC</w:t>
            </w:r>
          </w:p>
        </w:tc>
      </w:tr>
      <w:tr w:rsidR="006F1809" w:rsidRPr="006F1809" w14:paraId="46431597" w14:textId="77777777" w:rsidTr="00540031">
        <w:trPr>
          <w:jc w:val="center"/>
        </w:trPr>
        <w:tc>
          <w:tcPr>
            <w:tcW w:w="15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F16C66F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Marked enhancement</w:t>
            </w:r>
          </w:p>
        </w:tc>
        <w:tc>
          <w:tcPr>
            <w:tcW w:w="10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7C78478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i/>
                <w:iCs/>
                <w:noProof w:val="0"/>
                <w:color w:val="auto"/>
                <w:sz w:val="16"/>
                <w:szCs w:val="22"/>
                <w:lang w:eastAsia="en-US"/>
              </w:rPr>
              <w:t>κ</w:t>
            </w: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 = 0.82 (0.74-0.90)</w:t>
            </w:r>
          </w:p>
        </w:tc>
        <w:tc>
          <w:tcPr>
            <w:tcW w:w="10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C31918A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i/>
                <w:iCs/>
                <w:noProof w:val="0"/>
                <w:color w:val="auto"/>
                <w:sz w:val="16"/>
                <w:szCs w:val="22"/>
                <w:lang w:eastAsia="en-US"/>
              </w:rPr>
              <w:t>κ</w:t>
            </w: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 = 0.86 (0.78-0.94)</w:t>
            </w:r>
          </w:p>
        </w:tc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4A91979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Kappa</w:t>
            </w:r>
          </w:p>
        </w:tc>
      </w:tr>
      <w:tr w:rsidR="006F1809" w:rsidRPr="006F1809" w14:paraId="7A010BDF" w14:textId="77777777" w:rsidTr="00540031">
        <w:trPr>
          <w:jc w:val="center"/>
        </w:trPr>
        <w:tc>
          <w:tcPr>
            <w:tcW w:w="15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6A02B82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Intraplaque hemorrhage</w:t>
            </w:r>
          </w:p>
        </w:tc>
        <w:tc>
          <w:tcPr>
            <w:tcW w:w="10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9B1D20D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i/>
                <w:iCs/>
                <w:noProof w:val="0"/>
                <w:color w:val="auto"/>
                <w:sz w:val="16"/>
                <w:szCs w:val="22"/>
                <w:lang w:eastAsia="en-US"/>
              </w:rPr>
              <w:t>κ</w:t>
            </w: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 = 0.84 (0.76-0.92)</w:t>
            </w:r>
          </w:p>
        </w:tc>
        <w:tc>
          <w:tcPr>
            <w:tcW w:w="10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5D3FC90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i/>
                <w:iCs/>
                <w:noProof w:val="0"/>
                <w:color w:val="auto"/>
                <w:sz w:val="16"/>
                <w:szCs w:val="22"/>
                <w:lang w:eastAsia="en-US"/>
              </w:rPr>
              <w:t>κ</w:t>
            </w: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 = 0.89 (0.81-0.97)</w:t>
            </w:r>
          </w:p>
        </w:tc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08CF0DC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Kappa</w:t>
            </w:r>
          </w:p>
        </w:tc>
      </w:tr>
      <w:tr w:rsidR="006F1809" w:rsidRPr="006F1809" w14:paraId="7459631A" w14:textId="77777777" w:rsidTr="00540031">
        <w:trPr>
          <w:jc w:val="center"/>
        </w:trPr>
        <w:tc>
          <w:tcPr>
            <w:tcW w:w="151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531760E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Lipid-rich necrotic core</w:t>
            </w:r>
          </w:p>
        </w:tc>
        <w:tc>
          <w:tcPr>
            <w:tcW w:w="10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58ABD4C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i/>
                <w:iCs/>
                <w:noProof w:val="0"/>
                <w:color w:val="auto"/>
                <w:sz w:val="16"/>
                <w:szCs w:val="22"/>
                <w:lang w:eastAsia="en-US"/>
              </w:rPr>
              <w:t>κ</w:t>
            </w: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 = 0.78 (0.68-0.88)</w:t>
            </w:r>
          </w:p>
        </w:tc>
        <w:tc>
          <w:tcPr>
            <w:tcW w:w="10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68CC7A7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i/>
                <w:iCs/>
                <w:noProof w:val="0"/>
                <w:color w:val="auto"/>
                <w:sz w:val="16"/>
                <w:szCs w:val="22"/>
                <w:lang w:eastAsia="en-US"/>
              </w:rPr>
              <w:t>κ</w:t>
            </w: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 = 0.82 (0.72-0.92)</w:t>
            </w:r>
          </w:p>
        </w:tc>
        <w:tc>
          <w:tcPr>
            <w:tcW w:w="133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71D43099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Kappa</w:t>
            </w:r>
          </w:p>
        </w:tc>
      </w:tr>
      <w:tr w:rsidR="006F1809" w:rsidRPr="006F1809" w14:paraId="217FF176" w14:textId="77777777" w:rsidTr="00540031">
        <w:trPr>
          <w:jc w:val="center"/>
        </w:trPr>
        <w:tc>
          <w:tcPr>
            <w:tcW w:w="1510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43BD0A9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Calcification</w:t>
            </w:r>
          </w:p>
        </w:tc>
        <w:tc>
          <w:tcPr>
            <w:tcW w:w="1079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5C0B2BF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i/>
                <w:iCs/>
                <w:noProof w:val="0"/>
                <w:color w:val="auto"/>
                <w:sz w:val="16"/>
                <w:szCs w:val="22"/>
                <w:lang w:eastAsia="en-US"/>
              </w:rPr>
              <w:t>κ</w:t>
            </w: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 = 0.86 (0.78-0.94)</w:t>
            </w:r>
          </w:p>
        </w:tc>
        <w:tc>
          <w:tcPr>
            <w:tcW w:w="1079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C960A92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i/>
                <w:iCs/>
                <w:noProof w:val="0"/>
                <w:color w:val="auto"/>
                <w:sz w:val="16"/>
                <w:szCs w:val="22"/>
                <w:lang w:eastAsia="en-US"/>
              </w:rPr>
              <w:t>κ</w:t>
            </w: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 = 0.90 (0.82-0.98)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320844A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Kappa</w:t>
            </w:r>
          </w:p>
        </w:tc>
      </w:tr>
    </w:tbl>
    <w:p w14:paraId="445F08E5" w14:textId="77777777" w:rsidR="006F1809" w:rsidRPr="006F1809" w:rsidRDefault="006F1809" w:rsidP="006F1809">
      <w:pPr>
        <w:spacing w:before="40" w:after="120" w:line="240" w:lineRule="auto"/>
        <w:rPr>
          <w:rFonts w:ascii="Times New Roman" w:eastAsia="Times New Roman" w:hAnsi="Times New Roman"/>
          <w:noProof w:val="0"/>
          <w:color w:val="auto"/>
          <w:sz w:val="21"/>
          <w:szCs w:val="22"/>
          <w:lang w:eastAsia="en-US"/>
        </w:rPr>
      </w:pPr>
      <w:r w:rsidRPr="006F1809">
        <w:rPr>
          <w:rFonts w:ascii="Times New Roman" w:eastAsia="Times New Roman" w:hAnsi="Times New Roman"/>
          <w:noProof w:val="0"/>
          <w:color w:val="auto"/>
          <w:sz w:val="16"/>
          <w:szCs w:val="22"/>
          <w:lang w:eastAsia="en-US"/>
        </w:rPr>
        <w:t xml:space="preserve">Note: VA, vessel area; LA, lumen area; WA, wall area; PB, plaque burden; PRI, positive remodeling index; CR, contrast ratio; ICC, intraclass correlation coefficient calculated using a two-way random-effects model; </w:t>
      </w:r>
      <w:r w:rsidRPr="006F1809">
        <w:rPr>
          <w:rFonts w:ascii="Times New Roman" w:eastAsia="Times New Roman" w:hAnsi="Times New Roman"/>
          <w:i/>
          <w:iCs/>
          <w:noProof w:val="0"/>
          <w:color w:val="auto"/>
          <w:sz w:val="16"/>
          <w:szCs w:val="22"/>
          <w:lang w:eastAsia="en-US"/>
        </w:rPr>
        <w:t>κ</w:t>
      </w:r>
      <w:r w:rsidRPr="006F1809">
        <w:rPr>
          <w:rFonts w:ascii="Times New Roman" w:eastAsia="Times New Roman" w:hAnsi="Times New Roman"/>
          <w:noProof w:val="0"/>
          <w:color w:val="auto"/>
          <w:sz w:val="16"/>
          <w:szCs w:val="22"/>
          <w:lang w:eastAsia="en-US"/>
        </w:rPr>
        <w:t>, kappa coefficient; Kappa was used to evaluate agreement for categorical variables; values in parentheses are 95% CIs.</w:t>
      </w:r>
    </w:p>
    <w:p w14:paraId="0CE5088B" w14:textId="77777777" w:rsidR="006F1809" w:rsidRPr="006F1809" w:rsidRDefault="006F1809" w:rsidP="006F1809">
      <w:pPr>
        <w:spacing w:before="160" w:after="60" w:line="240" w:lineRule="auto"/>
        <w:rPr>
          <w:rFonts w:ascii="Times New Roman" w:eastAsia="Times New Roman" w:hAnsi="Times New Roman"/>
          <w:noProof w:val="0"/>
          <w:color w:val="auto"/>
          <w:sz w:val="21"/>
          <w:szCs w:val="22"/>
          <w:lang w:eastAsia="en-US"/>
        </w:rPr>
      </w:pPr>
      <w:r w:rsidRPr="006F1809">
        <w:rPr>
          <w:rFonts w:ascii="Times New Roman" w:eastAsia="Times New Roman" w:hAnsi="Times New Roman"/>
          <w:b/>
          <w:noProof w:val="0"/>
          <w:color w:val="auto"/>
          <w:sz w:val="18"/>
          <w:szCs w:val="22"/>
          <w:lang w:eastAsia="en-US"/>
        </w:rPr>
        <w:t>Supplementary Table 3. Univariable logistic regression analysis of perforator-territory infarction</w:t>
      </w:r>
    </w:p>
    <w:tbl>
      <w:tblPr>
        <w:tblStyle w:val="11"/>
        <w:tblW w:w="4999" w:type="pct"/>
        <w:jc w:val="center"/>
        <w:tblLook w:val="04A0" w:firstRow="1" w:lastRow="0" w:firstColumn="1" w:lastColumn="0" w:noHBand="0" w:noVBand="1"/>
      </w:tblPr>
      <w:tblGrid>
        <w:gridCol w:w="3351"/>
        <w:gridCol w:w="990"/>
        <w:gridCol w:w="990"/>
        <w:gridCol w:w="990"/>
        <w:gridCol w:w="1751"/>
        <w:gridCol w:w="1140"/>
        <w:gridCol w:w="989"/>
      </w:tblGrid>
      <w:tr w:rsidR="006F1809" w:rsidRPr="006F1809" w14:paraId="1524D0C3" w14:textId="77777777" w:rsidTr="00540031">
        <w:trPr>
          <w:tblHeader/>
          <w:jc w:val="center"/>
        </w:trPr>
        <w:tc>
          <w:tcPr>
            <w:tcW w:w="1641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  <w:tl2br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9857DAF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b/>
                <w:noProof w:val="0"/>
                <w:color w:val="auto"/>
                <w:sz w:val="13"/>
                <w:szCs w:val="22"/>
                <w:lang w:eastAsia="en-US"/>
              </w:rPr>
              <w:t>Variable</w:t>
            </w:r>
          </w:p>
        </w:tc>
        <w:tc>
          <w:tcPr>
            <w:tcW w:w="485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1337D77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b/>
                <w:i/>
                <w:iCs/>
                <w:noProof w:val="0"/>
                <w:color w:val="auto"/>
                <w:sz w:val="13"/>
                <w:szCs w:val="22"/>
                <w:lang w:eastAsia="en-US"/>
              </w:rPr>
              <w:t>β</w:t>
            </w:r>
          </w:p>
        </w:tc>
        <w:tc>
          <w:tcPr>
            <w:tcW w:w="485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F60FE5E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b/>
                <w:noProof w:val="0"/>
                <w:color w:val="auto"/>
                <w:sz w:val="13"/>
                <w:szCs w:val="22"/>
                <w:lang w:eastAsia="en-US"/>
              </w:rPr>
              <w:t>SE</w:t>
            </w:r>
          </w:p>
        </w:tc>
        <w:tc>
          <w:tcPr>
            <w:tcW w:w="485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70B4892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b/>
                <w:noProof w:val="0"/>
                <w:color w:val="auto"/>
                <w:sz w:val="13"/>
                <w:szCs w:val="22"/>
                <w:lang w:eastAsia="en-US"/>
              </w:rPr>
              <w:t>OR</w:t>
            </w:r>
          </w:p>
        </w:tc>
        <w:tc>
          <w:tcPr>
            <w:tcW w:w="858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6EBDC82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b/>
                <w:noProof w:val="0"/>
                <w:color w:val="auto"/>
                <w:sz w:val="13"/>
                <w:szCs w:val="22"/>
                <w:lang w:eastAsia="en-US"/>
              </w:rPr>
              <w:t>95% CI</w:t>
            </w:r>
          </w:p>
        </w:tc>
        <w:tc>
          <w:tcPr>
            <w:tcW w:w="559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1774E68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b/>
                <w:noProof w:val="0"/>
                <w:color w:val="auto"/>
                <w:sz w:val="13"/>
                <w:szCs w:val="22"/>
                <w:lang w:eastAsia="en-US"/>
              </w:rPr>
              <w:t xml:space="preserve">Wald </w:t>
            </w:r>
            <w:r w:rsidRPr="006F1809">
              <w:rPr>
                <w:rFonts w:ascii="Times New Roman" w:eastAsia="Times New Roman" w:hAnsi="Times New Roman"/>
                <w:b/>
                <w:i/>
                <w:iCs/>
                <w:noProof w:val="0"/>
                <w:color w:val="auto"/>
                <w:sz w:val="13"/>
                <w:szCs w:val="22"/>
                <w:lang w:eastAsia="en-US"/>
              </w:rPr>
              <w:t>χ²</w:t>
            </w:r>
          </w:p>
        </w:tc>
        <w:tc>
          <w:tcPr>
            <w:tcW w:w="485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907A3D4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b/>
                <w:i/>
                <w:iCs/>
                <w:noProof w:val="0"/>
                <w:color w:val="auto"/>
                <w:sz w:val="13"/>
                <w:szCs w:val="22"/>
                <w:lang w:eastAsia="en-US"/>
              </w:rPr>
              <w:t>P</w:t>
            </w:r>
            <w:r w:rsidRPr="006F1809">
              <w:rPr>
                <w:rFonts w:ascii="Times New Roman" w:eastAsia="Times New Roman" w:hAnsi="Times New Roman"/>
                <w:b/>
                <w:noProof w:val="0"/>
                <w:color w:val="auto"/>
                <w:sz w:val="13"/>
                <w:szCs w:val="22"/>
                <w:lang w:eastAsia="en-US"/>
              </w:rPr>
              <w:t xml:space="preserve"> value</w:t>
            </w:r>
          </w:p>
        </w:tc>
      </w:tr>
      <w:tr w:rsidR="006F1809" w:rsidRPr="006F1809" w14:paraId="107A5A24" w14:textId="77777777" w:rsidTr="00540031">
        <w:trPr>
          <w:jc w:val="center"/>
        </w:trPr>
        <w:tc>
          <w:tcPr>
            <w:tcW w:w="16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069987D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Age</w:t>
            </w:r>
          </w:p>
        </w:tc>
        <w:tc>
          <w:tcPr>
            <w:tcW w:w="48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E0BD079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0.022</w:t>
            </w:r>
          </w:p>
        </w:tc>
        <w:tc>
          <w:tcPr>
            <w:tcW w:w="48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6497C5D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0.012</w:t>
            </w:r>
          </w:p>
        </w:tc>
        <w:tc>
          <w:tcPr>
            <w:tcW w:w="48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C34BD6D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1.02</w:t>
            </w:r>
          </w:p>
        </w:tc>
        <w:tc>
          <w:tcPr>
            <w:tcW w:w="85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E53B692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1.00-1.04</w:t>
            </w:r>
          </w:p>
        </w:tc>
        <w:tc>
          <w:tcPr>
            <w:tcW w:w="559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C8FCCD0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3.34</w:t>
            </w:r>
          </w:p>
        </w:tc>
        <w:tc>
          <w:tcPr>
            <w:tcW w:w="48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3B1363C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0.068</w:t>
            </w:r>
          </w:p>
        </w:tc>
      </w:tr>
      <w:tr w:rsidR="006F1809" w:rsidRPr="006F1809" w14:paraId="53CDD822" w14:textId="77777777" w:rsidTr="00540031">
        <w:trPr>
          <w:jc w:val="center"/>
        </w:trPr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0E0CF59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Male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B7F72FC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0.293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336AE55F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0.253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6EE2D5A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1.34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A4EA63F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0.82-2.19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64C7C7A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1.339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F5039FF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0.251</w:t>
            </w:r>
          </w:p>
        </w:tc>
      </w:tr>
      <w:tr w:rsidR="006F1809" w:rsidRPr="006F1809" w14:paraId="60D869CF" w14:textId="77777777" w:rsidTr="00540031">
        <w:trPr>
          <w:jc w:val="center"/>
        </w:trPr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AE96ACB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Hypertension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7B2AA71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0.775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C416978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0.294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478182E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2.17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E4472A8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1.22-3.86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2EF579F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6.945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3013845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0.008</w:t>
            </w:r>
          </w:p>
        </w:tc>
      </w:tr>
      <w:tr w:rsidR="006F1809" w:rsidRPr="006F1809" w14:paraId="55AE87A6" w14:textId="77777777" w:rsidTr="00540031">
        <w:trPr>
          <w:jc w:val="center"/>
        </w:trPr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96013A0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Diabetes mellitus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5DDC169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0.788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7519C48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0.242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0E54668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2.20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6CACBDD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1.37-3.53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7CFBAD15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10.604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E2BE9A0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0.001</w:t>
            </w:r>
          </w:p>
        </w:tc>
      </w:tr>
      <w:tr w:rsidR="006F1809" w:rsidRPr="006F1809" w14:paraId="24D43024" w14:textId="77777777" w:rsidTr="00540031">
        <w:trPr>
          <w:jc w:val="center"/>
        </w:trPr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396D40E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Hyperlipidemia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C51F460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0.177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F18F82B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0.239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BF555AD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1.19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DE48F56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0.75-1.90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345BA6A4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0.548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3B14B799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0.459</w:t>
            </w:r>
          </w:p>
        </w:tc>
      </w:tr>
      <w:tr w:rsidR="006F1809" w:rsidRPr="006F1809" w14:paraId="6AFAE695" w14:textId="77777777" w:rsidTr="00540031">
        <w:trPr>
          <w:jc w:val="center"/>
        </w:trPr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7B479A75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Smoking history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4FD825A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0.246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C7E7650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0.235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A8D96B4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1.28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4DB67B5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0.81-2.02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0266F50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1.096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D88FA65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0.298</w:t>
            </w:r>
          </w:p>
        </w:tc>
      </w:tr>
      <w:tr w:rsidR="006F1809" w:rsidRPr="006F1809" w14:paraId="6CA3FE72" w14:textId="77777777" w:rsidTr="00540031">
        <w:trPr>
          <w:jc w:val="center"/>
        </w:trPr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366CCDF4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Previous stroke/TIA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725CBCE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0.329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0086039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0.250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C6041FF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1.39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3D0C4EE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0.85-2.27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3B1FAA84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1.733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8DD4B71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0.186</w:t>
            </w:r>
          </w:p>
        </w:tc>
      </w:tr>
      <w:tr w:rsidR="006F1809" w:rsidRPr="006F1809" w14:paraId="0467004B" w14:textId="77777777" w:rsidTr="00540031">
        <w:trPr>
          <w:jc w:val="center"/>
        </w:trPr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A6557CB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NIHSS score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CE5F4AA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-0.117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CE80982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0.032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CC17B58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0.89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5A5C4E0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0.84-0.95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37E7A0D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13.387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61D12CC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&lt;0.001</w:t>
            </w:r>
          </w:p>
        </w:tc>
      </w:tr>
      <w:tr w:rsidR="006F1809" w:rsidRPr="006F1809" w14:paraId="71E6749F" w14:textId="77777777" w:rsidTr="00540031">
        <w:trPr>
          <w:jc w:val="center"/>
        </w:trPr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7E82EB19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Fasting blood glucose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7F822493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0.158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3EC21D67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0.058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37EED7F4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1.17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0DF75D1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1.05-1.31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77B7CC62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7.454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128B64C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0.006</w:t>
            </w:r>
          </w:p>
        </w:tc>
      </w:tr>
      <w:tr w:rsidR="006F1809" w:rsidRPr="006F1809" w14:paraId="15256C21" w14:textId="77777777" w:rsidTr="00540031">
        <w:trPr>
          <w:jc w:val="center"/>
        </w:trPr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3114F0FF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Glycated hemoglobin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B6E3C95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0.293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F16E0B8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0.101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BB7BC59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1.34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2C18370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1.10-1.63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34DC491D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8.414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1EDA6D2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0.004</w:t>
            </w:r>
          </w:p>
        </w:tc>
      </w:tr>
      <w:tr w:rsidR="006F1809" w:rsidRPr="006F1809" w14:paraId="209E12AB" w14:textId="77777777" w:rsidTr="00540031">
        <w:trPr>
          <w:jc w:val="center"/>
        </w:trPr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7B1FD6A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Total cholesterol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253AAAA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0.131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3EC72FD2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0.100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7A8272FD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1.14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79823CBB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0.94-1.39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460D6A2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1.722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216D2B3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0.186</w:t>
            </w:r>
          </w:p>
        </w:tc>
      </w:tr>
      <w:tr w:rsidR="006F1809" w:rsidRPr="006F1809" w14:paraId="3D7D5D09" w14:textId="77777777" w:rsidTr="00540031">
        <w:trPr>
          <w:jc w:val="center"/>
        </w:trPr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B3EE457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Triglycerides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6CABC9D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0.247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AB2B92A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0.123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57649D7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1.28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5FB7ED2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1.01-1.62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3C3CFD3B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4.043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ACB8A17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0.044</w:t>
            </w:r>
          </w:p>
        </w:tc>
      </w:tr>
      <w:tr w:rsidR="006F1809" w:rsidRPr="006F1809" w14:paraId="6F761C0E" w14:textId="77777777" w:rsidTr="00540031">
        <w:trPr>
          <w:jc w:val="center"/>
        </w:trPr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D670374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Low-density lipoprotein cholesterol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3FC432B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0.223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3FA9B425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0.129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C70BC04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1.25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3BE9D7B8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0.97-1.61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50587D6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2.989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038D5FE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0.083</w:t>
            </w:r>
          </w:p>
        </w:tc>
      </w:tr>
      <w:tr w:rsidR="006F1809" w:rsidRPr="006F1809" w14:paraId="292B4116" w14:textId="77777777" w:rsidTr="00540031">
        <w:trPr>
          <w:jc w:val="center"/>
        </w:trPr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11F3A6D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High-density lipoprotein cholesterol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6112C75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-0.494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BE35B93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0.331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7C3CCC6C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0.61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37B4A03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0.32-1.17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BD33BD0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2.228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1AA9BE4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0.129</w:t>
            </w:r>
          </w:p>
        </w:tc>
      </w:tr>
      <w:tr w:rsidR="006F1809" w:rsidRPr="006F1809" w14:paraId="5ABD5003" w14:textId="77777777" w:rsidTr="00540031">
        <w:trPr>
          <w:jc w:val="center"/>
        </w:trPr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7B6CB8DD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Homocysteine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4FCE841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0.027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566C3BB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0.010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26FA6AB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1.03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0599768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1.01-1.05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8124DD7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6.832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14121E0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0.009</w:t>
            </w:r>
          </w:p>
        </w:tc>
      </w:tr>
      <w:tr w:rsidR="006F1809" w:rsidRPr="006F1809" w14:paraId="7600C650" w14:textId="77777777" w:rsidTr="00540031">
        <w:trPr>
          <w:jc w:val="center"/>
        </w:trPr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BB3616D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High-sensitivity C-reactive protein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BAD6060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0.047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5570B2E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0.020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754C86A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1.05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A996924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1.01-1.09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A6373BB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5.642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745B84C1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0.017</w:t>
            </w:r>
          </w:p>
        </w:tc>
      </w:tr>
      <w:tr w:rsidR="006F1809" w:rsidRPr="006F1809" w14:paraId="222E73AD" w14:textId="77777777" w:rsidTr="00540031">
        <w:trPr>
          <w:jc w:val="center"/>
        </w:trPr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6C4E1FA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Severe stenosis (70%-99%)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A1DF17D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0.683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9C60EB2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0.221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E2E84AE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1.98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9A4BBAA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1.28-3.06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FC021EE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9.558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78E271A3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0.002</w:t>
            </w:r>
          </w:p>
        </w:tc>
      </w:tr>
      <w:tr w:rsidR="006F1809" w:rsidRPr="006F1809" w14:paraId="063FC1BD" w14:textId="77777777" w:rsidTr="00540031">
        <w:trPr>
          <w:jc w:val="center"/>
        </w:trPr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B187841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Vessel area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4CA4F99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0.166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05C6F56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0.041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7527E60B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1.18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6B12FDB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1.09-1.28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685B02A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16.422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71C3F94C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&lt;0.001</w:t>
            </w:r>
          </w:p>
        </w:tc>
      </w:tr>
      <w:tr w:rsidR="006F1809" w:rsidRPr="006F1809" w14:paraId="35033C52" w14:textId="77777777" w:rsidTr="00540031">
        <w:trPr>
          <w:jc w:val="center"/>
        </w:trPr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6F81D24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Lumen area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782D1BD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-0.151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0B4E31A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0.057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7679330F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0.86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2A8C5C1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0.77-0.96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3FB747F8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7.009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7550BA2D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0.008</w:t>
            </w:r>
          </w:p>
        </w:tc>
      </w:tr>
      <w:tr w:rsidR="006F1809" w:rsidRPr="006F1809" w14:paraId="44D28BFA" w14:textId="77777777" w:rsidTr="00540031">
        <w:trPr>
          <w:jc w:val="center"/>
        </w:trPr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82DE5E3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Wall area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73D915F8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0.501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A2CC97F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0.088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33AF776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1.65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8343A0B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1.39-1.96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6A3791C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32.416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869FB17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&lt;0.001</w:t>
            </w:r>
          </w:p>
        </w:tc>
      </w:tr>
      <w:tr w:rsidR="006F1809" w:rsidRPr="006F1809" w14:paraId="5E97354F" w14:textId="77777777" w:rsidTr="00540031">
        <w:trPr>
          <w:jc w:val="center"/>
        </w:trPr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C50E1DE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Plaque burden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5F5D8A4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0.062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384E0FF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0.012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7BB8732B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1.06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E274555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1.04-1.09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739BD2E0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27.562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3BF5C519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&lt;0.001</w:t>
            </w:r>
          </w:p>
        </w:tc>
      </w:tr>
      <w:tr w:rsidR="006F1809" w:rsidRPr="006F1809" w14:paraId="713C86E5" w14:textId="77777777" w:rsidTr="00540031">
        <w:trPr>
          <w:jc w:val="center"/>
        </w:trPr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9E500BF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Positive remodeling index (PRI)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15A928E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2.513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AB50C07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0.434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E9B5C74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12.35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936CE44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5.28-28.91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693F7EC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33.522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59ADDD2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&lt;0.001</w:t>
            </w:r>
          </w:p>
        </w:tc>
      </w:tr>
      <w:tr w:rsidR="006F1809" w:rsidRPr="006F1809" w14:paraId="038ACEC5" w14:textId="77777777" w:rsidTr="00540031">
        <w:trPr>
          <w:jc w:val="center"/>
        </w:trPr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3A0FF594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Plaque enhancement ratio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14D084F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0.039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344747F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0.009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4361604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1.04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9F73DD1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1.02-1.06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D0B54C5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18.754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6BFB4E1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&lt;0.001</w:t>
            </w:r>
          </w:p>
        </w:tc>
      </w:tr>
      <w:tr w:rsidR="006F1809" w:rsidRPr="006F1809" w14:paraId="30855E23" w14:textId="77777777" w:rsidTr="00540031">
        <w:trPr>
          <w:jc w:val="center"/>
        </w:trPr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7F2B036D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lastRenderedPageBreak/>
              <w:t>Plaque/brain signal intensity ratio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302F5EB7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1.522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4515E89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0.386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0A46F41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4.58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F4D0760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2.15-9.76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920C3E4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15.558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907EFC0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&lt;0.001</w:t>
            </w:r>
          </w:p>
        </w:tc>
      </w:tr>
      <w:tr w:rsidR="006F1809" w:rsidRPr="006F1809" w14:paraId="2F152EA8" w14:textId="77777777" w:rsidTr="00540031">
        <w:trPr>
          <w:jc w:val="center"/>
        </w:trPr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7791FD6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Marked enhancement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CC71448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1.091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C61E933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0.246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33BF13E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2.98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DA29557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1.84-4.83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7147FED2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19.677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7207C4C8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&lt;0.001</w:t>
            </w:r>
          </w:p>
        </w:tc>
      </w:tr>
      <w:tr w:rsidR="006F1809" w:rsidRPr="006F1809" w14:paraId="3876D2DB" w14:textId="77777777" w:rsidTr="00540031">
        <w:trPr>
          <w:jc w:val="center"/>
        </w:trPr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AABC290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Intraplaque hemorrhage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A53FEDC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0.834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364EAA7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0.244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18AF35D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2.30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AA729CD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1.42-3.72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9FB7057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11.698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E11B5C2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0.001</w:t>
            </w:r>
          </w:p>
        </w:tc>
      </w:tr>
      <w:tr w:rsidR="006F1809" w:rsidRPr="006F1809" w14:paraId="5781AC72" w14:textId="77777777" w:rsidTr="00540031">
        <w:trPr>
          <w:jc w:val="center"/>
        </w:trPr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183ED4E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Lipid-rich necrotic core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7D33A9B1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0.703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201DBC5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0.251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C58E0C4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2.02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8B3B4FD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1.24-3.29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1333C6F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7.850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5A21EBB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0.005</w:t>
            </w:r>
          </w:p>
        </w:tc>
      </w:tr>
      <w:tr w:rsidR="006F1809" w:rsidRPr="006F1809" w14:paraId="0B11A968" w14:textId="77777777" w:rsidTr="00540031">
        <w:trPr>
          <w:jc w:val="center"/>
        </w:trPr>
        <w:tc>
          <w:tcPr>
            <w:tcW w:w="1641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4C185D1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Calcification</w:t>
            </w: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F377067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0.104</w:t>
            </w: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7CDFF236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0.249</w:t>
            </w: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365BF6CE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1.11</w:t>
            </w:r>
          </w:p>
        </w:tc>
        <w:tc>
          <w:tcPr>
            <w:tcW w:w="858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11819FA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0.68-1.81</w:t>
            </w:r>
          </w:p>
        </w:tc>
        <w:tc>
          <w:tcPr>
            <w:tcW w:w="559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4A936D5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0.175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3AA946E6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3"/>
                <w:szCs w:val="22"/>
                <w:lang w:eastAsia="en-US"/>
              </w:rPr>
              <w:t>0.624</w:t>
            </w:r>
          </w:p>
        </w:tc>
      </w:tr>
    </w:tbl>
    <w:p w14:paraId="3F9CAD49" w14:textId="77777777" w:rsidR="006F1809" w:rsidRPr="006F1809" w:rsidRDefault="006F1809" w:rsidP="006F1809">
      <w:pPr>
        <w:spacing w:before="40" w:after="120" w:line="240" w:lineRule="auto"/>
        <w:rPr>
          <w:rFonts w:ascii="Times New Roman" w:eastAsia="Times New Roman" w:hAnsi="Times New Roman"/>
          <w:noProof w:val="0"/>
          <w:color w:val="auto"/>
          <w:sz w:val="21"/>
          <w:szCs w:val="22"/>
          <w:lang w:eastAsia="en-US"/>
        </w:rPr>
      </w:pPr>
      <w:r w:rsidRPr="006F1809">
        <w:rPr>
          <w:rFonts w:ascii="Times New Roman" w:eastAsia="Times New Roman" w:hAnsi="Times New Roman"/>
          <w:noProof w:val="0"/>
          <w:color w:val="auto"/>
          <w:sz w:val="16"/>
          <w:szCs w:val="22"/>
          <w:lang w:eastAsia="en-US"/>
        </w:rPr>
        <w:t xml:space="preserve">Note: Logistic regression refers to binary logistic regression. </w:t>
      </w:r>
      <w:r w:rsidRPr="006F1809">
        <w:rPr>
          <w:rFonts w:ascii="Times New Roman" w:eastAsia="Times New Roman" w:hAnsi="Times New Roman"/>
          <w:i/>
          <w:iCs/>
          <w:noProof w:val="0"/>
          <w:color w:val="auto"/>
          <w:sz w:val="16"/>
          <w:szCs w:val="22"/>
          <w:lang w:eastAsia="en-US"/>
        </w:rPr>
        <w:t>β</w:t>
      </w:r>
      <w:r w:rsidRPr="006F1809">
        <w:rPr>
          <w:rFonts w:ascii="Times New Roman" w:eastAsia="Times New Roman" w:hAnsi="Times New Roman"/>
          <w:noProof w:val="0"/>
          <w:color w:val="auto"/>
          <w:sz w:val="16"/>
          <w:szCs w:val="22"/>
          <w:lang w:eastAsia="en-US"/>
        </w:rPr>
        <w:t xml:space="preserve">, regression coefficient; SE, standard error; OR, odds ratio; CI, confidence interval; Wald </w:t>
      </w:r>
      <w:r w:rsidRPr="006F1809">
        <w:rPr>
          <w:rFonts w:ascii="Times New Roman" w:eastAsia="Times New Roman" w:hAnsi="Times New Roman"/>
          <w:i/>
          <w:iCs/>
          <w:noProof w:val="0"/>
          <w:color w:val="auto"/>
          <w:sz w:val="16"/>
          <w:szCs w:val="22"/>
          <w:lang w:eastAsia="en-US"/>
        </w:rPr>
        <w:t>χ²</w:t>
      </w:r>
      <w:r w:rsidRPr="006F1809">
        <w:rPr>
          <w:rFonts w:ascii="Times New Roman" w:eastAsia="Times New Roman" w:hAnsi="Times New Roman"/>
          <w:noProof w:val="0"/>
          <w:color w:val="auto"/>
          <w:sz w:val="16"/>
          <w:szCs w:val="22"/>
          <w:lang w:eastAsia="en-US"/>
        </w:rPr>
        <w:t xml:space="preserve">, Wald test chi-square statistic; </w:t>
      </w:r>
      <w:r w:rsidRPr="006F1809">
        <w:rPr>
          <w:rFonts w:ascii="Times New Roman" w:eastAsia="Times New Roman" w:hAnsi="Times New Roman"/>
          <w:i/>
          <w:iCs/>
          <w:noProof w:val="0"/>
          <w:color w:val="auto"/>
          <w:sz w:val="16"/>
          <w:szCs w:val="22"/>
          <w:lang w:eastAsia="en-US"/>
        </w:rPr>
        <w:t>P</w:t>
      </w:r>
      <w:r w:rsidRPr="006F1809">
        <w:rPr>
          <w:rFonts w:ascii="Times New Roman" w:eastAsia="Times New Roman" w:hAnsi="Times New Roman"/>
          <w:noProof w:val="0"/>
          <w:color w:val="auto"/>
          <w:sz w:val="16"/>
          <w:szCs w:val="22"/>
          <w:lang w:eastAsia="en-US"/>
        </w:rPr>
        <w:t xml:space="preserve"> value, two-sided probability of significance; TIA, transient ischemic attack; NIHSS, National Institutes of Health Stroke Scale; PRI, positive remodeling index.</w:t>
      </w:r>
    </w:p>
    <w:p w14:paraId="78B08D54" w14:textId="77777777" w:rsidR="006F1809" w:rsidRPr="006F1809" w:rsidRDefault="006F1809" w:rsidP="006F1809">
      <w:pPr>
        <w:spacing w:before="160" w:after="60" w:line="240" w:lineRule="auto"/>
        <w:rPr>
          <w:rFonts w:ascii="Times New Roman" w:eastAsia="Times New Roman" w:hAnsi="Times New Roman"/>
          <w:noProof w:val="0"/>
          <w:color w:val="auto"/>
          <w:sz w:val="21"/>
          <w:szCs w:val="22"/>
          <w:lang w:eastAsia="en-US"/>
        </w:rPr>
      </w:pPr>
      <w:r w:rsidRPr="006F1809">
        <w:rPr>
          <w:rFonts w:ascii="Times New Roman" w:eastAsia="Times New Roman" w:hAnsi="Times New Roman"/>
          <w:b/>
          <w:noProof w:val="0"/>
          <w:color w:val="auto"/>
          <w:sz w:val="18"/>
          <w:szCs w:val="22"/>
          <w:lang w:eastAsia="en-US"/>
        </w:rPr>
        <w:t>Supplementary Table 4. Threshold-stratified analysis of positive remodeling index (PRI)</w:t>
      </w:r>
    </w:p>
    <w:tbl>
      <w:tblPr>
        <w:tblStyle w:val="11"/>
        <w:tblW w:w="4999" w:type="pct"/>
        <w:jc w:val="center"/>
        <w:tblLook w:val="04A0" w:firstRow="1" w:lastRow="0" w:firstColumn="1" w:lastColumn="0" w:noHBand="0" w:noVBand="1"/>
      </w:tblPr>
      <w:tblGrid>
        <w:gridCol w:w="2321"/>
        <w:gridCol w:w="2463"/>
        <w:gridCol w:w="3097"/>
        <w:gridCol w:w="1406"/>
        <w:gridCol w:w="914"/>
      </w:tblGrid>
      <w:tr w:rsidR="006F1809" w:rsidRPr="006F1809" w14:paraId="4EC50ED2" w14:textId="77777777" w:rsidTr="00540031">
        <w:trPr>
          <w:tblHeader/>
          <w:jc w:val="center"/>
        </w:trPr>
        <w:tc>
          <w:tcPr>
            <w:tcW w:w="1137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  <w:tl2br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82AB81E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b/>
                <w:noProof w:val="0"/>
                <w:color w:val="auto"/>
                <w:sz w:val="15"/>
                <w:szCs w:val="22"/>
                <w:lang w:eastAsia="en-US"/>
              </w:rPr>
              <w:t>Stratum</w:t>
            </w:r>
          </w:p>
        </w:tc>
        <w:tc>
          <w:tcPr>
            <w:tcW w:w="1206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9E62042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b/>
                <w:noProof w:val="0"/>
                <w:color w:val="auto"/>
                <w:sz w:val="15"/>
                <w:szCs w:val="22"/>
                <w:lang w:eastAsia="en-US"/>
              </w:rPr>
              <w:t>Sample size</w:t>
            </w:r>
          </w:p>
        </w:tc>
        <w:tc>
          <w:tcPr>
            <w:tcW w:w="1517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C7030C8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b/>
                <w:noProof w:val="0"/>
                <w:color w:val="auto"/>
                <w:sz w:val="15"/>
                <w:szCs w:val="22"/>
                <w:lang w:eastAsia="en-US"/>
              </w:rPr>
              <w:t>Event distribution</w:t>
            </w:r>
          </w:p>
        </w:tc>
        <w:tc>
          <w:tcPr>
            <w:tcW w:w="689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70C5A52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b/>
                <w:i/>
                <w:iCs/>
                <w:noProof w:val="0"/>
                <w:color w:val="auto"/>
                <w:sz w:val="15"/>
                <w:szCs w:val="22"/>
                <w:lang w:eastAsia="en-US"/>
              </w:rPr>
              <w:t>χ²</w:t>
            </w:r>
          </w:p>
        </w:tc>
        <w:tc>
          <w:tcPr>
            <w:tcW w:w="448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FF1EAB0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b/>
                <w:i/>
                <w:iCs/>
                <w:noProof w:val="0"/>
                <w:color w:val="auto"/>
                <w:sz w:val="15"/>
                <w:szCs w:val="22"/>
                <w:lang w:eastAsia="en-US"/>
              </w:rPr>
              <w:t>P</w:t>
            </w:r>
            <w:r w:rsidRPr="006F1809">
              <w:rPr>
                <w:rFonts w:ascii="Times New Roman" w:eastAsia="Times New Roman" w:hAnsi="Times New Roman"/>
                <w:b/>
                <w:noProof w:val="0"/>
                <w:color w:val="auto"/>
                <w:sz w:val="15"/>
                <w:szCs w:val="22"/>
                <w:lang w:eastAsia="en-US"/>
              </w:rPr>
              <w:t xml:space="preserve"> value</w:t>
            </w:r>
          </w:p>
        </w:tc>
      </w:tr>
      <w:tr w:rsidR="006F1809" w:rsidRPr="006F1809" w14:paraId="4AB48235" w14:textId="77777777" w:rsidTr="00540031">
        <w:trPr>
          <w:jc w:val="center"/>
        </w:trPr>
        <w:tc>
          <w:tcPr>
            <w:tcW w:w="113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78D6608F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All patients</w:t>
            </w:r>
          </w:p>
        </w:tc>
        <w:tc>
          <w:tcPr>
            <w:tcW w:w="1206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34338B9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Low PRI n = 142; high PRI n = 141</w:t>
            </w:r>
          </w:p>
        </w:tc>
        <w:tc>
          <w:tcPr>
            <w:tcW w:w="151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4E3E4E7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Perforator 36 vs 91; non-perforator 106 vs 50</w:t>
            </w:r>
          </w:p>
        </w:tc>
        <w:tc>
          <w:tcPr>
            <w:tcW w:w="689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5D147A3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i/>
                <w:iCs/>
                <w:noProof w:val="0"/>
                <w:color w:val="auto"/>
                <w:sz w:val="15"/>
                <w:szCs w:val="22"/>
                <w:lang w:eastAsia="en-US"/>
              </w:rPr>
              <w:t>χ²</w:t>
            </w: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 = 43.918</w:t>
            </w:r>
          </w:p>
        </w:tc>
        <w:tc>
          <w:tcPr>
            <w:tcW w:w="44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8B60A44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&lt;0.001</w:t>
            </w:r>
          </w:p>
        </w:tc>
      </w:tr>
      <w:tr w:rsidR="006F1809" w:rsidRPr="006F1809" w14:paraId="755A2470" w14:textId="77777777" w:rsidTr="00540031">
        <w:trPr>
          <w:jc w:val="center"/>
        </w:trPr>
        <w:tc>
          <w:tcPr>
            <w:tcW w:w="11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9F40B3E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Patients with severe stenosis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725FF0C8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Low PRI n = 58; high PRI n = 92</w:t>
            </w:r>
          </w:p>
        </w:tc>
        <w:tc>
          <w:tcPr>
            <w:tcW w:w="15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5A52FC0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Perforator 20 vs 59; non-perforator 38 vs 33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D25C5C6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i/>
                <w:iCs/>
                <w:noProof w:val="0"/>
                <w:color w:val="auto"/>
                <w:sz w:val="15"/>
                <w:szCs w:val="22"/>
                <w:lang w:eastAsia="en-US"/>
              </w:rPr>
              <w:t>χ²</w:t>
            </w: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 = 12.543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7D20FB6B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&lt;0.001</w:t>
            </w:r>
          </w:p>
        </w:tc>
      </w:tr>
      <w:tr w:rsidR="006F1809" w:rsidRPr="006F1809" w14:paraId="0CDB63EA" w14:textId="77777777" w:rsidTr="00540031">
        <w:trPr>
          <w:jc w:val="center"/>
        </w:trPr>
        <w:tc>
          <w:tcPr>
            <w:tcW w:w="1137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E34E489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Patients without severe stenosis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E301B62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Low PRI n = 84; high PRI n = 49</w:t>
            </w:r>
          </w:p>
        </w:tc>
        <w:tc>
          <w:tcPr>
            <w:tcW w:w="1517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697609C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Perforator 16 vs 32; non-perforator 68 vs 17</w:t>
            </w:r>
          </w:p>
        </w:tc>
        <w:tc>
          <w:tcPr>
            <w:tcW w:w="689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38620AA0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i/>
                <w:iCs/>
                <w:noProof w:val="0"/>
                <w:color w:val="auto"/>
                <w:sz w:val="15"/>
                <w:szCs w:val="22"/>
                <w:lang w:eastAsia="en-US"/>
              </w:rPr>
              <w:t>χ²</w:t>
            </w: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 = 28.711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43E80AE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&lt;0.001</w:t>
            </w:r>
          </w:p>
        </w:tc>
      </w:tr>
    </w:tbl>
    <w:p w14:paraId="5794AD2C" w14:textId="77777777" w:rsidR="006F1809" w:rsidRPr="006F1809" w:rsidRDefault="006F1809" w:rsidP="006F1809">
      <w:pPr>
        <w:spacing w:before="40" w:after="120" w:line="240" w:lineRule="auto"/>
        <w:rPr>
          <w:rFonts w:ascii="Times New Roman" w:eastAsia="Times New Roman" w:hAnsi="Times New Roman"/>
          <w:noProof w:val="0"/>
          <w:color w:val="auto"/>
          <w:sz w:val="21"/>
          <w:szCs w:val="22"/>
          <w:lang w:eastAsia="en-US"/>
        </w:rPr>
      </w:pPr>
      <w:r w:rsidRPr="006F1809">
        <w:rPr>
          <w:rFonts w:ascii="Times New Roman" w:eastAsia="Times New Roman" w:hAnsi="Times New Roman"/>
          <w:noProof w:val="0"/>
          <w:color w:val="auto"/>
          <w:sz w:val="16"/>
          <w:szCs w:val="22"/>
          <w:lang w:eastAsia="en-US"/>
        </w:rPr>
        <w:t xml:space="preserve">Note: PRI, positive remodeling index; n, number of cases; </w:t>
      </w:r>
      <w:r w:rsidRPr="006F1809">
        <w:rPr>
          <w:rFonts w:ascii="Times New Roman" w:eastAsia="Times New Roman" w:hAnsi="Times New Roman"/>
          <w:i/>
          <w:iCs/>
          <w:noProof w:val="0"/>
          <w:color w:val="auto"/>
          <w:sz w:val="16"/>
          <w:szCs w:val="22"/>
          <w:lang w:eastAsia="en-US"/>
        </w:rPr>
        <w:t>χ²</w:t>
      </w:r>
      <w:r w:rsidRPr="006F1809">
        <w:rPr>
          <w:rFonts w:ascii="Times New Roman" w:eastAsia="Times New Roman" w:hAnsi="Times New Roman"/>
          <w:noProof w:val="0"/>
          <w:color w:val="auto"/>
          <w:sz w:val="16"/>
          <w:szCs w:val="22"/>
          <w:lang w:eastAsia="en-US"/>
        </w:rPr>
        <w:t xml:space="preserve">, Pearson chi-square test statistic; </w:t>
      </w:r>
      <w:r w:rsidRPr="006F1809">
        <w:rPr>
          <w:rFonts w:ascii="Times New Roman" w:eastAsia="Times New Roman" w:hAnsi="Times New Roman"/>
          <w:i/>
          <w:iCs/>
          <w:noProof w:val="0"/>
          <w:color w:val="auto"/>
          <w:sz w:val="16"/>
          <w:szCs w:val="22"/>
          <w:lang w:eastAsia="en-US"/>
        </w:rPr>
        <w:t>P</w:t>
      </w:r>
      <w:r w:rsidRPr="006F1809">
        <w:rPr>
          <w:rFonts w:ascii="Times New Roman" w:eastAsia="Times New Roman" w:hAnsi="Times New Roman"/>
          <w:noProof w:val="0"/>
          <w:color w:val="auto"/>
          <w:sz w:val="16"/>
          <w:szCs w:val="22"/>
          <w:lang w:eastAsia="en-US"/>
        </w:rPr>
        <w:t xml:space="preserve"> value, two-sided probability of significance. The low-PRI group was defined as PRI &lt; 1.12, and the high-PRI group was defined as PRI &gt;= 1.12.</w:t>
      </w:r>
    </w:p>
    <w:p w14:paraId="7DC44E6B" w14:textId="77777777" w:rsidR="006F1809" w:rsidRPr="006F1809" w:rsidRDefault="006F1809" w:rsidP="006F1809">
      <w:pPr>
        <w:spacing w:before="160" w:after="60" w:line="240" w:lineRule="auto"/>
        <w:rPr>
          <w:rFonts w:ascii="Times New Roman" w:eastAsia="Times New Roman" w:hAnsi="Times New Roman"/>
          <w:noProof w:val="0"/>
          <w:color w:val="auto"/>
          <w:sz w:val="21"/>
          <w:szCs w:val="22"/>
          <w:lang w:eastAsia="en-US"/>
        </w:rPr>
      </w:pPr>
      <w:r w:rsidRPr="006F1809">
        <w:rPr>
          <w:rFonts w:ascii="Times New Roman" w:eastAsia="Times New Roman" w:hAnsi="Times New Roman"/>
          <w:b/>
          <w:noProof w:val="0"/>
          <w:color w:val="auto"/>
          <w:sz w:val="18"/>
          <w:szCs w:val="22"/>
          <w:lang w:eastAsia="en-US"/>
        </w:rPr>
        <w:t>Supplementary Table 5. Sensitivity analyses</w:t>
      </w:r>
    </w:p>
    <w:tbl>
      <w:tblPr>
        <w:tblStyle w:val="11"/>
        <w:tblW w:w="4998" w:type="pct"/>
        <w:jc w:val="center"/>
        <w:tblLook w:val="04A0" w:firstRow="1" w:lastRow="0" w:firstColumn="1" w:lastColumn="0" w:noHBand="0" w:noVBand="1"/>
      </w:tblPr>
      <w:tblGrid>
        <w:gridCol w:w="2132"/>
        <w:gridCol w:w="2531"/>
        <w:gridCol w:w="2868"/>
        <w:gridCol w:w="2668"/>
      </w:tblGrid>
      <w:tr w:rsidR="006F1809" w:rsidRPr="006F1809" w14:paraId="697DC426" w14:textId="77777777" w:rsidTr="00540031">
        <w:trPr>
          <w:tblHeader/>
          <w:jc w:val="center"/>
        </w:trPr>
        <w:tc>
          <w:tcPr>
            <w:tcW w:w="1045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  <w:tl2br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F014C1D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b/>
                <w:noProof w:val="0"/>
                <w:color w:val="auto"/>
                <w:sz w:val="16"/>
                <w:szCs w:val="22"/>
                <w:lang w:eastAsia="en-US"/>
              </w:rPr>
              <w:t>Sensitivity model</w:t>
            </w:r>
          </w:p>
        </w:tc>
        <w:tc>
          <w:tcPr>
            <w:tcW w:w="1241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FD1EE72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b/>
                <w:noProof w:val="0"/>
                <w:color w:val="auto"/>
                <w:sz w:val="16"/>
                <w:szCs w:val="22"/>
                <w:lang w:eastAsia="en-US"/>
              </w:rPr>
              <w:t>Key result</w:t>
            </w:r>
          </w:p>
        </w:tc>
        <w:tc>
          <w:tcPr>
            <w:tcW w:w="1405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3B55345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b/>
                <w:noProof w:val="0"/>
                <w:color w:val="auto"/>
                <w:sz w:val="16"/>
                <w:szCs w:val="22"/>
                <w:lang w:eastAsia="en-US"/>
              </w:rPr>
              <w:t>Model variables/replacement strategy</w:t>
            </w:r>
          </w:p>
        </w:tc>
        <w:tc>
          <w:tcPr>
            <w:tcW w:w="1307" w:type="pct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E485F52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b/>
                <w:noProof w:val="0"/>
                <w:color w:val="auto"/>
                <w:sz w:val="16"/>
                <w:szCs w:val="22"/>
                <w:lang w:eastAsia="en-US"/>
              </w:rPr>
              <w:t>Interpretation</w:t>
            </w:r>
          </w:p>
        </w:tc>
      </w:tr>
      <w:tr w:rsidR="006F1809" w:rsidRPr="006F1809" w14:paraId="637F44B6" w14:textId="77777777" w:rsidTr="00540031">
        <w:trPr>
          <w:jc w:val="center"/>
        </w:trPr>
        <w:tc>
          <w:tcPr>
            <w:tcW w:w="104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8DACD49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Main final model</w:t>
            </w:r>
          </w:p>
        </w:tc>
        <w:tc>
          <w:tcPr>
            <w:tcW w:w="124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D021714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PRI OR = 8.67 (95% CI: 3.42-21.98), </w:t>
            </w:r>
            <w:r w:rsidRPr="006F1809">
              <w:rPr>
                <w:rFonts w:ascii="Times New Roman" w:eastAsia="Times New Roman" w:hAnsi="Times New Roman"/>
                <w:i/>
                <w:iCs/>
                <w:noProof w:val="0"/>
                <w:color w:val="auto"/>
                <w:sz w:val="16"/>
                <w:szCs w:val="22"/>
                <w:lang w:eastAsia="en-US"/>
              </w:rPr>
              <w:t>P</w:t>
            </w: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 &lt; 0.001; model AUC = 0.832</w:t>
            </w:r>
          </w:p>
        </w:tc>
        <w:tc>
          <w:tcPr>
            <w:tcW w:w="140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743C1E86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Age, sex, diabetes mellitus, homocysteine, severe stenosis, PRI, marked enhancement, and intraplaque hemorrhage</w:t>
            </w:r>
          </w:p>
        </w:tc>
        <w:tc>
          <w:tcPr>
            <w:tcW w:w="130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16BE6BA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PRI remained independently associated with perforator-territory infarction</w:t>
            </w:r>
          </w:p>
        </w:tc>
      </w:tr>
      <w:tr w:rsidR="006F1809" w:rsidRPr="006F1809" w14:paraId="769EC494" w14:textId="77777777" w:rsidTr="00540031">
        <w:trPr>
          <w:jc w:val="center"/>
        </w:trPr>
        <w:tc>
          <w:tcPr>
            <w:tcW w:w="104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247BDD79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Glycated hemoglobin substituted for diabetes mellitus</w:t>
            </w:r>
          </w:p>
        </w:tc>
        <w:tc>
          <w:tcPr>
            <w:tcW w:w="12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3EEC3F40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PRI OR = 8.41 (95% CI: 3.30-21.43), </w:t>
            </w:r>
            <w:r w:rsidRPr="006F1809">
              <w:rPr>
                <w:rFonts w:ascii="Times New Roman" w:eastAsia="Times New Roman" w:hAnsi="Times New Roman"/>
                <w:i/>
                <w:iCs/>
                <w:noProof w:val="0"/>
                <w:color w:val="auto"/>
                <w:sz w:val="16"/>
                <w:szCs w:val="22"/>
                <w:lang w:eastAsia="en-US"/>
              </w:rPr>
              <w:t>P</w:t>
            </w: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 &lt; 0.001; model AUC = 0.829</w:t>
            </w:r>
          </w:p>
        </w:tc>
        <w:tc>
          <w:tcPr>
            <w:tcW w:w="140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843615B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Glycated hemoglobin substituted for diabetes mellitus; other candidate variables were consistent with the main analysis</w:t>
            </w:r>
          </w:p>
        </w:tc>
        <w:tc>
          <w:tcPr>
            <w:tcW w:w="13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BFA9124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After replacement of the </w:t>
            </w:r>
            <w:proofErr w:type="spellStart"/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glycometabolic</w:t>
            </w:r>
            <w:proofErr w:type="spellEnd"/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 variable, the direction and statistical significance of the PRI association remained consistent</w:t>
            </w:r>
          </w:p>
        </w:tc>
      </w:tr>
      <w:tr w:rsidR="006F1809" w:rsidRPr="006F1809" w14:paraId="720C0BE2" w14:textId="77777777" w:rsidTr="00540031">
        <w:trPr>
          <w:jc w:val="center"/>
        </w:trPr>
        <w:tc>
          <w:tcPr>
            <w:tcW w:w="104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3E84BF0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CR substituted for marked enhancement</w:t>
            </w:r>
          </w:p>
        </w:tc>
        <w:tc>
          <w:tcPr>
            <w:tcW w:w="12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41B61EDD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PRI OR = 8.24 (95% CI: 3.28-20.72), </w:t>
            </w:r>
            <w:r w:rsidRPr="006F1809">
              <w:rPr>
                <w:rFonts w:ascii="Times New Roman" w:eastAsia="Times New Roman" w:hAnsi="Times New Roman"/>
                <w:i/>
                <w:iCs/>
                <w:noProof w:val="0"/>
                <w:color w:val="auto"/>
                <w:sz w:val="16"/>
                <w:szCs w:val="22"/>
                <w:lang w:eastAsia="en-US"/>
              </w:rPr>
              <w:t>P</w:t>
            </w: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 &lt; 0.001; model AUC = 0.827</w:t>
            </w:r>
          </w:p>
        </w:tc>
        <w:tc>
          <w:tcPr>
            <w:tcW w:w="140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02CAD49D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Plaque/brain signal intensity ratio (CR) substituted for marked enhancement; other candidate variables were consistent with the main analysis</w:t>
            </w:r>
          </w:p>
        </w:tc>
        <w:tc>
          <w:tcPr>
            <w:tcW w:w="13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3A4B33B9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After replacement of the enhancement indicator, the direction and statistical significance of the PRI association remained consistent</w:t>
            </w:r>
          </w:p>
        </w:tc>
      </w:tr>
      <w:tr w:rsidR="006F1809" w:rsidRPr="006F1809" w14:paraId="153BC315" w14:textId="77777777" w:rsidTr="00540031">
        <w:trPr>
          <w:jc w:val="center"/>
        </w:trPr>
        <w:tc>
          <w:tcPr>
            <w:tcW w:w="104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330DF7A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Plaque burden included without vessel area/wall area</w:t>
            </w:r>
          </w:p>
        </w:tc>
        <w:tc>
          <w:tcPr>
            <w:tcW w:w="12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4FA2743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PRI OR = 7.96 (95% CI: 3.14-20.18), </w:t>
            </w:r>
            <w:r w:rsidRPr="006F1809">
              <w:rPr>
                <w:rFonts w:ascii="Times New Roman" w:eastAsia="Times New Roman" w:hAnsi="Times New Roman"/>
                <w:i/>
                <w:iCs/>
                <w:noProof w:val="0"/>
                <w:color w:val="auto"/>
                <w:sz w:val="16"/>
                <w:szCs w:val="22"/>
                <w:lang w:eastAsia="en-US"/>
              </w:rPr>
              <w:t>P</w:t>
            </w: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 &lt; 0.001; model AUC = 0.835</w:t>
            </w:r>
          </w:p>
        </w:tc>
        <w:tc>
          <w:tcPr>
            <w:tcW w:w="140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5BC0E3F2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Plaque burden was included, avoiding simultaneous entry of vessel area, wall area, and plaque burden into the model</w:t>
            </w:r>
          </w:p>
        </w:tc>
        <w:tc>
          <w:tcPr>
            <w:tcW w:w="13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1F59402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After replacement of area-related variables, the direction and statistical significance of the PRI association remained consistent</w:t>
            </w:r>
          </w:p>
        </w:tc>
      </w:tr>
      <w:tr w:rsidR="006F1809" w:rsidRPr="006F1809" w14:paraId="3B20DD8D" w14:textId="77777777" w:rsidTr="00540031">
        <w:trPr>
          <w:jc w:val="center"/>
        </w:trPr>
        <w:tc>
          <w:tcPr>
            <w:tcW w:w="1045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30B7B281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Clinical variables + stenosis severity + PRI model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247C958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PRI OR = 8.92 (95% CI: 3.61-22.05), </w:t>
            </w:r>
            <w:r w:rsidRPr="006F1809">
              <w:rPr>
                <w:rFonts w:ascii="Times New Roman" w:eastAsia="Times New Roman" w:hAnsi="Times New Roman"/>
                <w:i/>
                <w:iCs/>
                <w:noProof w:val="0"/>
                <w:color w:val="auto"/>
                <w:sz w:val="16"/>
                <w:szCs w:val="22"/>
                <w:lang w:eastAsia="en-US"/>
              </w:rPr>
              <w:t>P</w:t>
            </w: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 &lt; 0.001; model AUC = 0.806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6703FD92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Clinical variables, stenosis severity, and PRI were included; enhancement and plaque-component variables were not included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/>
            <w:tcMar>
              <w:top w:w="20" w:type="dxa"/>
              <w:left w:w="25" w:type="dxa"/>
              <w:bottom w:w="20" w:type="dxa"/>
              <w:right w:w="25" w:type="dxa"/>
            </w:tcMar>
            <w:vAlign w:val="center"/>
          </w:tcPr>
          <w:p w14:paraId="1F23CA9E" w14:textId="77777777" w:rsidR="006F1809" w:rsidRPr="006F1809" w:rsidRDefault="006F1809" w:rsidP="006F1809">
            <w:pPr>
              <w:spacing w:line="240" w:lineRule="auto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6F1809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PRI remained independently associated even without enhancement and plaque-component variables</w:t>
            </w:r>
          </w:p>
        </w:tc>
      </w:tr>
    </w:tbl>
    <w:p w14:paraId="76E02F01" w14:textId="77777777" w:rsidR="006F1809" w:rsidRPr="006F1809" w:rsidRDefault="006F1809" w:rsidP="006F1809">
      <w:pPr>
        <w:spacing w:before="40" w:after="120" w:line="240" w:lineRule="auto"/>
        <w:rPr>
          <w:rFonts w:ascii="Times New Roman" w:eastAsia="Times New Roman" w:hAnsi="Times New Roman"/>
          <w:noProof w:val="0"/>
          <w:color w:val="auto"/>
          <w:sz w:val="21"/>
          <w:szCs w:val="22"/>
          <w:lang w:eastAsia="en-US"/>
        </w:rPr>
      </w:pPr>
      <w:r w:rsidRPr="006F1809">
        <w:rPr>
          <w:rFonts w:ascii="Times New Roman" w:eastAsia="Times New Roman" w:hAnsi="Times New Roman"/>
          <w:noProof w:val="0"/>
          <w:color w:val="auto"/>
          <w:sz w:val="16"/>
          <w:szCs w:val="22"/>
          <w:lang w:eastAsia="en-US"/>
        </w:rPr>
        <w:t xml:space="preserve">Note: PRI, positive remodeling index; OR, odds ratio; CI, confidence interval; AUC, area under the curve; CR, contrast ratio. Glycated hemoglobin was used to substitute for the diabetes mellitus variable. </w:t>
      </w:r>
      <w:r w:rsidRPr="006F1809">
        <w:rPr>
          <w:rFonts w:ascii="Times New Roman" w:eastAsia="Times New Roman" w:hAnsi="Times New Roman"/>
          <w:i/>
          <w:iCs/>
          <w:noProof w:val="0"/>
          <w:color w:val="auto"/>
          <w:sz w:val="16"/>
          <w:szCs w:val="22"/>
          <w:lang w:eastAsia="en-US"/>
        </w:rPr>
        <w:t>P</w:t>
      </w:r>
      <w:r w:rsidRPr="006F1809">
        <w:rPr>
          <w:rFonts w:ascii="Times New Roman" w:eastAsia="Times New Roman" w:hAnsi="Times New Roman"/>
          <w:noProof w:val="0"/>
          <w:color w:val="auto"/>
          <w:sz w:val="16"/>
          <w:szCs w:val="22"/>
          <w:lang w:eastAsia="en-US"/>
        </w:rPr>
        <w:t xml:space="preserve"> value, two-sided probability of significance.</w:t>
      </w:r>
    </w:p>
    <w:p w14:paraId="53DD461D" w14:textId="77777777" w:rsidR="0014134E" w:rsidRDefault="00B51191">
      <w:bookmarkStart w:id="0" w:name="_GoBack"/>
      <w:bookmarkEnd w:id="0"/>
    </w:p>
    <w:sectPr w:rsidR="0014134E" w:rsidSect="00D83C63">
      <w:headerReference w:type="default" r:id="rId7"/>
      <w:footerReference w:type="default" r:id="rId8"/>
      <w:pgSz w:w="11905" w:h="16838"/>
      <w:pgMar w:top="1134" w:right="851" w:bottom="1134" w:left="851" w:header="283" w:footer="11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3DC7B" w14:textId="77777777" w:rsidR="00B51191" w:rsidRDefault="00B51191" w:rsidP="006F1809">
      <w:pPr>
        <w:spacing w:line="240" w:lineRule="auto"/>
      </w:pPr>
      <w:r>
        <w:separator/>
      </w:r>
    </w:p>
  </w:endnote>
  <w:endnote w:type="continuationSeparator" w:id="0">
    <w:p w14:paraId="7959E954" w14:textId="77777777" w:rsidR="00B51191" w:rsidRDefault="00B51191" w:rsidP="006F18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9E6CF" w14:textId="77777777" w:rsidR="00592E7A" w:rsidRDefault="00B51191">
    <w:r>
      <w:drawing>
        <wp:inline distT="0" distB="0" distL="114300" distR="114300" wp14:anchorId="4B88264F" wp14:editId="41327553">
          <wp:extent cx="5120640" cy="490220"/>
          <wp:effectExtent l="0" t="0" r="3810" b="5080"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20640" cy="490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E57665" w14:textId="77777777" w:rsidR="00B51191" w:rsidRDefault="00B51191" w:rsidP="006F1809">
      <w:pPr>
        <w:spacing w:line="240" w:lineRule="auto"/>
      </w:pPr>
      <w:r>
        <w:separator/>
      </w:r>
    </w:p>
  </w:footnote>
  <w:footnote w:type="continuationSeparator" w:id="0">
    <w:p w14:paraId="5C920EEC" w14:textId="77777777" w:rsidR="00B51191" w:rsidRDefault="00B51191" w:rsidP="006F18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82FD4" w14:textId="77777777" w:rsidR="00592E7A" w:rsidRDefault="00B51191">
    <w:r>
      <w:drawing>
        <wp:inline distT="0" distB="0" distL="114300" distR="114300" wp14:anchorId="7AE3974F" wp14:editId="083099C7">
          <wp:extent cx="2340610" cy="403225"/>
          <wp:effectExtent l="0" t="0" r="2540" b="6350"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40864" cy="403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DA5"/>
    <w:rsid w:val="0001306A"/>
    <w:rsid w:val="00036823"/>
    <w:rsid w:val="001C4626"/>
    <w:rsid w:val="002744FA"/>
    <w:rsid w:val="00376DA7"/>
    <w:rsid w:val="003F496F"/>
    <w:rsid w:val="006F1809"/>
    <w:rsid w:val="008878D8"/>
    <w:rsid w:val="008C6414"/>
    <w:rsid w:val="009632AE"/>
    <w:rsid w:val="00A11BB4"/>
    <w:rsid w:val="00B51191"/>
    <w:rsid w:val="00BD66C3"/>
    <w:rsid w:val="00C160AD"/>
    <w:rsid w:val="00CB015E"/>
    <w:rsid w:val="00CF2414"/>
    <w:rsid w:val="00D66DA5"/>
    <w:rsid w:val="00DF47FE"/>
    <w:rsid w:val="00E06726"/>
    <w:rsid w:val="00E26391"/>
    <w:rsid w:val="00E84515"/>
    <w:rsid w:val="00F8608B"/>
    <w:rsid w:val="00F8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96065B8-627A-4EC2-84E8-85505D517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1" w:qFormat="1"/>
    <w:lsdException w:name="heading 2" w:semiHidden="1" w:uiPriority="11" w:unhideWhenUsed="1" w:qFormat="1"/>
    <w:lsdException w:name="heading 3" w:semiHidden="1" w:uiPriority="11" w:unhideWhenUsed="1" w:qFormat="1"/>
    <w:lsdException w:name="heading 4" w:semiHidden="1" w:uiPriority="1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2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3F496F"/>
    <w:pPr>
      <w:spacing w:line="260" w:lineRule="atLeast"/>
      <w:jc w:val="both"/>
    </w:pPr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paragraph" w:styleId="1">
    <w:name w:val="heading 1"/>
    <w:aliases w:val="Heading level 1"/>
    <w:basedOn w:val="a"/>
    <w:next w:val="a"/>
    <w:link w:val="10"/>
    <w:uiPriority w:val="11"/>
    <w:qFormat/>
    <w:rsid w:val="003F496F"/>
    <w:pPr>
      <w:keepNext/>
      <w:keepLines/>
      <w:adjustRightInd w:val="0"/>
      <w:snapToGrid w:val="0"/>
      <w:spacing w:before="360" w:after="360" w:line="240" w:lineRule="auto"/>
      <w:outlineLvl w:val="0"/>
    </w:pPr>
    <w:rPr>
      <w:rFonts w:ascii="Times New Roman" w:eastAsia="Times New Roman" w:hAnsi="Times New Roman"/>
      <w:b/>
      <w:bCs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0"/>
    <w:uiPriority w:val="11"/>
    <w:qFormat/>
    <w:rsid w:val="003F496F"/>
    <w:pPr>
      <w:keepNext/>
      <w:keepLines/>
      <w:adjustRightInd w:val="0"/>
      <w:snapToGrid w:val="0"/>
      <w:spacing w:before="240" w:after="240" w:line="240" w:lineRule="auto"/>
      <w:outlineLvl w:val="1"/>
    </w:pPr>
    <w:rPr>
      <w:rFonts w:ascii="Times New Roman" w:eastAsia="Times New Roman" w:hAnsi="Times New Roman"/>
      <w:b/>
      <w:bCs/>
      <w:sz w:val="21"/>
      <w:szCs w:val="21"/>
    </w:rPr>
  </w:style>
  <w:style w:type="paragraph" w:styleId="3">
    <w:name w:val="heading 3"/>
    <w:aliases w:val="Heading level 3"/>
    <w:basedOn w:val="a"/>
    <w:next w:val="a"/>
    <w:link w:val="30"/>
    <w:uiPriority w:val="11"/>
    <w:qFormat/>
    <w:rsid w:val="003F496F"/>
    <w:pPr>
      <w:keepNext/>
      <w:keepLines/>
      <w:adjustRightInd w:val="0"/>
      <w:snapToGrid w:val="0"/>
      <w:spacing w:before="160" w:after="160" w:line="240" w:lineRule="auto"/>
      <w:outlineLvl w:val="2"/>
    </w:pPr>
    <w:rPr>
      <w:rFonts w:ascii="Times New Roman" w:eastAsia="Times New Roman" w:hAnsi="Times New Roman"/>
      <w:bCs/>
      <w:sz w:val="21"/>
      <w:szCs w:val="21"/>
    </w:rPr>
  </w:style>
  <w:style w:type="paragraph" w:styleId="4">
    <w:name w:val="heading 4"/>
    <w:aliases w:val="Heading level 4"/>
    <w:basedOn w:val="a"/>
    <w:next w:val="a"/>
    <w:link w:val="40"/>
    <w:uiPriority w:val="11"/>
    <w:rsid w:val="003F496F"/>
    <w:pPr>
      <w:keepNext/>
      <w:keepLines/>
      <w:adjustRightInd w:val="0"/>
      <w:snapToGrid w:val="0"/>
      <w:spacing w:before="120" w:after="120" w:line="240" w:lineRule="auto"/>
      <w:outlineLvl w:val="3"/>
    </w:pPr>
    <w:rPr>
      <w:rFonts w:ascii="Times New Roman" w:eastAsia="Times New Roman" w:hAnsi="Times New Roman"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next w:val="a"/>
    <w:uiPriority w:val="9"/>
    <w:qFormat/>
    <w:rsid w:val="003F496F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cademiceditor">
    <w:name w:val="Academic editor"/>
    <w:uiPriority w:val="6"/>
    <w:qFormat/>
    <w:rsid w:val="003F496F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3F496F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3F496F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Articletype">
    <w:name w:val="Article type"/>
    <w:next w:val="a"/>
    <w:qFormat/>
    <w:rsid w:val="003F496F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Authornames">
    <w:name w:val="Authornames"/>
    <w:next w:val="a"/>
    <w:uiPriority w:val="2"/>
    <w:qFormat/>
    <w:rsid w:val="003F496F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3F496F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ackmattertext">
    <w:name w:val="Back matter text"/>
    <w:link w:val="Backmattertext0"/>
    <w:uiPriority w:val="19"/>
    <w:qFormat/>
    <w:rsid w:val="003F496F"/>
    <w:pPr>
      <w:adjustRightInd w:val="0"/>
      <w:snapToGrid w:val="0"/>
      <w:spacing w:line="340" w:lineRule="exact"/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character" w:customStyle="1" w:styleId="Backmattertext0">
    <w:name w:val="Back matter text 字符"/>
    <w:basedOn w:val="a0"/>
    <w:link w:val="Backmattertext"/>
    <w:uiPriority w:val="19"/>
    <w:rsid w:val="003F496F"/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paragraph" w:customStyle="1" w:styleId="Biography">
    <w:name w:val="Biography"/>
    <w:basedOn w:val="Abstract"/>
    <w:uiPriority w:val="7"/>
    <w:qFormat/>
    <w:rsid w:val="003F496F"/>
    <w:pPr>
      <w:spacing w:line="312" w:lineRule="auto"/>
    </w:pPr>
  </w:style>
  <w:style w:type="paragraph" w:customStyle="1" w:styleId="Blockquote">
    <w:name w:val="Block quote"/>
    <w:basedOn w:val="Articletype"/>
    <w:uiPriority w:val="17"/>
    <w:qFormat/>
    <w:rsid w:val="003F496F"/>
    <w:pPr>
      <w:spacing w:before="240" w:after="240" w:line="340" w:lineRule="exact"/>
      <w:ind w:left="720"/>
      <w:jc w:val="both"/>
    </w:pPr>
    <w:rPr>
      <w:i w:val="0"/>
      <w:sz w:val="21"/>
      <w:szCs w:val="21"/>
    </w:rPr>
  </w:style>
  <w:style w:type="paragraph" w:customStyle="1" w:styleId="E-mail">
    <w:name w:val="E-mail"/>
    <w:link w:val="E-mail0"/>
    <w:uiPriority w:val="5"/>
    <w:qFormat/>
    <w:rsid w:val="003F496F"/>
    <w:pPr>
      <w:adjustRightInd w:val="0"/>
      <w:snapToGrid w:val="0"/>
      <w:spacing w:line="340" w:lineRule="exact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5"/>
    <w:rsid w:val="003F496F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Equation">
    <w:name w:val="Equation"/>
    <w:uiPriority w:val="17"/>
    <w:qFormat/>
    <w:rsid w:val="003F496F"/>
    <w:pPr>
      <w:adjustRightInd w:val="0"/>
      <w:snapToGrid w:val="0"/>
      <w:spacing w:before="60" w:after="60" w:line="340" w:lineRule="exact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">
    <w:name w:val="Figure"/>
    <w:uiPriority w:val="16"/>
    <w:qFormat/>
    <w:rsid w:val="003F496F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caption">
    <w:name w:val="Figure caption"/>
    <w:uiPriority w:val="16"/>
    <w:qFormat/>
    <w:rsid w:val="003F496F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Frontmatter">
    <w:name w:val="Front matter"/>
    <w:uiPriority w:val="8"/>
    <w:qFormat/>
    <w:rsid w:val="003F496F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lang w:eastAsia="de-DE" w:bidi="en-US"/>
    </w:rPr>
  </w:style>
  <w:style w:type="paragraph" w:customStyle="1" w:styleId="Historytime">
    <w:name w:val="History time"/>
    <w:next w:val="Articletype"/>
    <w:uiPriority w:val="7"/>
    <w:qFormat/>
    <w:rsid w:val="003F496F"/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Keywords">
    <w:name w:val="Keywords"/>
    <w:next w:val="a"/>
    <w:link w:val="Keywords0"/>
    <w:uiPriority w:val="10"/>
    <w:qFormat/>
    <w:rsid w:val="003F496F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10"/>
    <w:rsid w:val="003F496F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3F496F"/>
    <w:pPr>
      <w:adjustRightInd w:val="0"/>
      <w:snapToGrid w:val="0"/>
      <w:spacing w:line="340" w:lineRule="exact"/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3F496F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Tablebody">
    <w:name w:val="Table body"/>
    <w:uiPriority w:val="13"/>
    <w:qFormat/>
    <w:rsid w:val="003F496F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11"/>
    <w:rsid w:val="003F496F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11"/>
    <w:rsid w:val="003F496F"/>
    <w:rPr>
      <w:rFonts w:ascii="Times New Roman" w:eastAsia="Times New Roman" w:hAnsi="Times New Roman" w:cs="Times New Roman"/>
      <w:b/>
      <w:bCs/>
      <w:noProof/>
      <w:color w:val="000000"/>
      <w:kern w:val="0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11"/>
    <w:rsid w:val="003F496F"/>
    <w:rPr>
      <w:rFonts w:ascii="Times New Roman" w:eastAsia="Times New Roman" w:hAnsi="Times New Roman" w:cs="Times New Roman"/>
      <w:bCs/>
      <w:noProof/>
      <w:color w:val="000000"/>
      <w:kern w:val="0"/>
      <w:szCs w:val="21"/>
    </w:rPr>
  </w:style>
  <w:style w:type="paragraph" w:customStyle="1" w:styleId="Tablecaption">
    <w:name w:val="Table caption"/>
    <w:uiPriority w:val="14"/>
    <w:qFormat/>
    <w:rsid w:val="003F496F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4"/>
      <w:lang w:bidi="en-US"/>
    </w:rPr>
  </w:style>
  <w:style w:type="paragraph" w:customStyle="1" w:styleId="Tablefooter">
    <w:name w:val="Table footer"/>
    <w:next w:val="a"/>
    <w:uiPriority w:val="15"/>
    <w:qFormat/>
    <w:rsid w:val="003F496F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Text">
    <w:name w:val="Text"/>
    <w:link w:val="Text0"/>
    <w:uiPriority w:val="12"/>
    <w:qFormat/>
    <w:rsid w:val="003F496F"/>
    <w:pPr>
      <w:adjustRightInd w:val="0"/>
      <w:snapToGrid w:val="0"/>
      <w:spacing w:line="340" w:lineRule="exact"/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40">
    <w:name w:val="标题 4 字符"/>
    <w:aliases w:val="Heading level 4 字符"/>
    <w:basedOn w:val="a0"/>
    <w:link w:val="4"/>
    <w:uiPriority w:val="11"/>
    <w:rsid w:val="003F496F"/>
    <w:rPr>
      <w:rFonts w:ascii="Times New Roman" w:eastAsia="Times New Roman" w:hAnsi="Times New Roman" w:cs="Times New Roman"/>
      <w:bCs/>
      <w:noProof/>
      <w:color w:val="000000"/>
      <w:kern w:val="0"/>
      <w:szCs w:val="21"/>
    </w:rPr>
  </w:style>
  <w:style w:type="character" w:customStyle="1" w:styleId="Text0">
    <w:name w:val="Text 字符"/>
    <w:basedOn w:val="a0"/>
    <w:link w:val="Text"/>
    <w:uiPriority w:val="12"/>
    <w:rsid w:val="003F496F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paragraph" w:styleId="a3">
    <w:name w:val="annotation text"/>
    <w:aliases w:val="Comment"/>
    <w:basedOn w:val="a"/>
    <w:link w:val="a4"/>
    <w:uiPriority w:val="20"/>
    <w:qFormat/>
    <w:rsid w:val="003F496F"/>
    <w:pPr>
      <w:adjustRightInd w:val="0"/>
      <w:snapToGrid w:val="0"/>
      <w:spacing w:line="240" w:lineRule="auto"/>
      <w:jc w:val="left"/>
    </w:pPr>
    <w:rPr>
      <w:rFonts w:ascii="Times New Roman" w:eastAsia="Times New Roman" w:hAnsi="Times New Roman"/>
      <w:noProof w:val="0"/>
      <w:color w:val="auto"/>
      <w:sz w:val="21"/>
      <w:szCs w:val="21"/>
      <w:lang w:eastAsia="es-ES"/>
    </w:rPr>
  </w:style>
  <w:style w:type="character" w:customStyle="1" w:styleId="a4">
    <w:name w:val="批注文字 字符"/>
    <w:aliases w:val="Comment 字符"/>
    <w:basedOn w:val="a0"/>
    <w:link w:val="a3"/>
    <w:uiPriority w:val="20"/>
    <w:qFormat/>
    <w:rsid w:val="003F496F"/>
    <w:rPr>
      <w:rFonts w:ascii="Times New Roman" w:eastAsia="Times New Roman" w:hAnsi="Times New Roman" w:cs="Times New Roman"/>
      <w:kern w:val="0"/>
      <w:szCs w:val="21"/>
      <w:lang w:eastAsia="es-ES"/>
    </w:rPr>
  </w:style>
  <w:style w:type="paragraph" w:styleId="a5">
    <w:name w:val="Normal (Web)"/>
    <w:basedOn w:val="a"/>
    <w:uiPriority w:val="99"/>
    <w:semiHidden/>
    <w:rsid w:val="003F496F"/>
    <w:rPr>
      <w:szCs w:val="24"/>
    </w:rPr>
  </w:style>
  <w:style w:type="table" w:styleId="a6">
    <w:name w:val="Table Grid"/>
    <w:basedOn w:val="a1"/>
    <w:uiPriority w:val="59"/>
    <w:rsid w:val="003F496F"/>
    <w:pPr>
      <w:spacing w:line="260" w:lineRule="atLeast"/>
      <w:jc w:val="both"/>
    </w:pPr>
    <w:rPr>
      <w:rFonts w:ascii="Palatino Linotype" w:eastAsia="宋体" w:hAnsi="Palatino Linotype" w:cs="Times New Roman"/>
      <w:color w:val="000000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endnote text"/>
    <w:basedOn w:val="a"/>
    <w:link w:val="a8"/>
    <w:semiHidden/>
    <w:unhideWhenUsed/>
    <w:rsid w:val="003F496F"/>
    <w:pPr>
      <w:spacing w:line="240" w:lineRule="auto"/>
    </w:pPr>
  </w:style>
  <w:style w:type="character" w:customStyle="1" w:styleId="a8">
    <w:name w:val="尾注文本 字符"/>
    <w:link w:val="a7"/>
    <w:semiHidden/>
    <w:rsid w:val="003F496F"/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table" w:styleId="41">
    <w:name w:val="Plain Table 4"/>
    <w:basedOn w:val="a1"/>
    <w:uiPriority w:val="44"/>
    <w:rsid w:val="003F496F"/>
    <w:rPr>
      <w:rFonts w:ascii="Calibri" w:eastAsia="宋体" w:hAnsi="Calibri" w:cs="Times New Roman"/>
      <w:kern w:val="0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a9">
    <w:name w:val="line number"/>
    <w:basedOn w:val="a0"/>
    <w:uiPriority w:val="99"/>
    <w:semiHidden/>
    <w:unhideWhenUsed/>
    <w:rsid w:val="003F496F"/>
  </w:style>
  <w:style w:type="paragraph" w:styleId="aa">
    <w:name w:val="footer"/>
    <w:basedOn w:val="a"/>
    <w:link w:val="ab"/>
    <w:uiPriority w:val="99"/>
    <w:semiHidden/>
    <w:rsid w:val="003F496F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ab">
    <w:name w:val="页脚 字符"/>
    <w:link w:val="aa"/>
    <w:uiPriority w:val="99"/>
    <w:semiHidden/>
    <w:rsid w:val="003F496F"/>
    <w:rPr>
      <w:rFonts w:ascii="Palatino Linotype" w:eastAsia="宋体" w:hAnsi="Palatino Linotype" w:cs="Times New Roman"/>
      <w:noProof/>
      <w:color w:val="000000"/>
      <w:kern w:val="0"/>
      <w:sz w:val="20"/>
      <w:szCs w:val="18"/>
    </w:rPr>
  </w:style>
  <w:style w:type="paragraph" w:styleId="ac">
    <w:name w:val="header"/>
    <w:basedOn w:val="a"/>
    <w:link w:val="ad"/>
    <w:uiPriority w:val="99"/>
    <w:semiHidden/>
    <w:rsid w:val="003F49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ad">
    <w:name w:val="页眉 字符"/>
    <w:link w:val="ac"/>
    <w:uiPriority w:val="99"/>
    <w:semiHidden/>
    <w:rsid w:val="003F496F"/>
    <w:rPr>
      <w:rFonts w:ascii="Palatino Linotype" w:eastAsia="宋体" w:hAnsi="Palatino Linotype" w:cs="Times New Roman"/>
      <w:noProof/>
      <w:color w:val="000000"/>
      <w:kern w:val="0"/>
      <w:sz w:val="20"/>
      <w:szCs w:val="18"/>
    </w:rPr>
  </w:style>
  <w:style w:type="character" w:styleId="ae">
    <w:name w:val="Placeholder Text"/>
    <w:uiPriority w:val="99"/>
    <w:semiHidden/>
    <w:rsid w:val="003F496F"/>
    <w:rPr>
      <w:color w:val="808080"/>
    </w:rPr>
  </w:style>
  <w:style w:type="table" w:customStyle="1" w:styleId="11">
    <w:name w:val="网格型1"/>
    <w:basedOn w:val="a1"/>
    <w:next w:val="a6"/>
    <w:uiPriority w:val="59"/>
    <w:qFormat/>
    <w:rsid w:val="006F1809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1194</Words>
  <Characters>6808</Characters>
  <Application>Microsoft Office Word</Application>
  <DocSecurity>0</DocSecurity>
  <Lines>56</Lines>
  <Paragraphs>15</Paragraphs>
  <ScaleCrop>false</ScaleCrop>
  <Company/>
  <LinksUpToDate>false</LinksUpToDate>
  <CharactersWithSpaces>7987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</dc:creator>
  <cp:keywords/>
  <dc:description/>
  <cp:lastModifiedBy>Nicole</cp:lastModifiedBy>
  <cp:revision>2</cp:revision>
  <dcterms:created xsi:type="dcterms:W3CDTF">2026-06-23T02:50:00Z</dcterms:created>
  <dcterms:modified xsi:type="dcterms:W3CDTF">2026-06-23T02:51:00Z</dcterms:modified>
</cp:coreProperties>
</file>